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2020年度</w:t>
      </w:r>
    </w:p>
    <w:p>
      <w:pPr>
        <w:pStyle w:val="9"/>
        <w:jc w:val="center"/>
        <w:rPr>
          <w:sz w:val="84"/>
          <w:szCs w:val="84"/>
        </w:rPr>
      </w:pPr>
      <w:r>
        <w:rPr>
          <w:rFonts w:hint="eastAsia"/>
          <w:sz w:val="84"/>
          <w:szCs w:val="84"/>
        </w:rPr>
        <w:t>怀化市鹤城区文学艺术界联合会部门决算</w:t>
      </w:r>
    </w:p>
    <w:p>
      <w:pPr>
        <w:pStyle w:val="9"/>
        <w:jc w:val="center"/>
        <w:rPr>
          <w:sz w:val="56"/>
          <w:szCs w:val="56"/>
          <w:highlight w:val="yellow"/>
        </w:rPr>
      </w:pPr>
    </w:p>
    <w:p>
      <w:pPr>
        <w:pStyle w:val="9"/>
        <w:jc w:val="center"/>
        <w:rPr>
          <w:sz w:val="56"/>
          <w:szCs w:val="56"/>
          <w:highlight w:val="yellow"/>
        </w:rPr>
      </w:pPr>
    </w:p>
    <w:p>
      <w:pPr>
        <w:pStyle w:val="9"/>
        <w:jc w:val="center"/>
        <w:rPr>
          <w:sz w:val="56"/>
          <w:szCs w:val="56"/>
          <w:highlight w:val="yellow"/>
        </w:rPr>
      </w:pPr>
    </w:p>
    <w:p>
      <w:pPr>
        <w:pStyle w:val="9"/>
        <w:jc w:val="center"/>
        <w:rPr>
          <w:sz w:val="56"/>
          <w:szCs w:val="56"/>
          <w:highlight w:val="yellow"/>
        </w:rPr>
      </w:pPr>
    </w:p>
    <w:p>
      <w:pPr>
        <w:pStyle w:val="9"/>
        <w:jc w:val="center"/>
        <w:rPr>
          <w:sz w:val="32"/>
          <w:szCs w:val="32"/>
          <w:highlight w:val="yellow"/>
        </w:rPr>
      </w:pPr>
    </w:p>
    <w:p>
      <w:pPr>
        <w:pStyle w:val="9"/>
        <w:jc w:val="center"/>
        <w:rPr>
          <w:sz w:val="32"/>
          <w:szCs w:val="32"/>
          <w:highlight w:val="yellow"/>
        </w:rPr>
      </w:pPr>
    </w:p>
    <w:p>
      <w:pPr>
        <w:pStyle w:val="9"/>
        <w:jc w:val="center"/>
        <w:rPr>
          <w:sz w:val="32"/>
          <w:szCs w:val="32"/>
          <w:highlight w:val="yellow"/>
        </w:rPr>
      </w:pPr>
    </w:p>
    <w:p>
      <w:pPr>
        <w:pStyle w:val="9"/>
        <w:spacing w:line="540" w:lineRule="exact"/>
        <w:jc w:val="center"/>
        <w:rPr>
          <w:sz w:val="56"/>
          <w:szCs w:val="56"/>
          <w:highlight w:val="yellow"/>
        </w:rPr>
      </w:pPr>
    </w:p>
    <w:p>
      <w:pPr>
        <w:pStyle w:val="9"/>
        <w:spacing w:line="500" w:lineRule="exact"/>
        <w:jc w:val="center"/>
        <w:rPr>
          <w:b/>
          <w:sz w:val="36"/>
          <w:szCs w:val="28"/>
          <w:highlight w:val="yellow"/>
        </w:rPr>
      </w:pPr>
    </w:p>
    <w:p>
      <w:pPr>
        <w:pStyle w:val="9"/>
        <w:spacing w:line="500" w:lineRule="exact"/>
        <w:jc w:val="center"/>
        <w:rPr>
          <w:b/>
          <w:sz w:val="36"/>
          <w:szCs w:val="28"/>
          <w:highlight w:val="yellow"/>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第一部分单位概况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20年度部门决算表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20年度部门决算情况说明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于2020年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highlight w:val="yellow"/>
        </w:rPr>
      </w:pPr>
    </w:p>
    <w:p>
      <w:pPr>
        <w:jc w:val="center"/>
        <w:rPr>
          <w:sz w:val="72"/>
          <w:szCs w:val="72"/>
          <w:highlight w:val="yellow"/>
        </w:rPr>
      </w:pPr>
    </w:p>
    <w:p>
      <w:pPr>
        <w:jc w:val="center"/>
        <w:rPr>
          <w:sz w:val="72"/>
          <w:szCs w:val="72"/>
          <w:highlight w:val="yellow"/>
        </w:rPr>
      </w:pPr>
    </w:p>
    <w:p>
      <w:pPr>
        <w:jc w:val="center"/>
        <w:rPr>
          <w:sz w:val="72"/>
          <w:szCs w:val="72"/>
          <w:highlight w:val="yellow"/>
        </w:rPr>
      </w:pPr>
    </w:p>
    <w:p>
      <w:pPr>
        <w:rPr>
          <w:sz w:val="72"/>
          <w:szCs w:val="72"/>
        </w:rPr>
      </w:pPr>
    </w:p>
    <w:p>
      <w:pPr>
        <w:pStyle w:val="9"/>
        <w:jc w:val="center"/>
        <w:rPr>
          <w:sz w:val="84"/>
          <w:szCs w:val="84"/>
        </w:rPr>
      </w:pPr>
      <w:r>
        <w:rPr>
          <w:rFonts w:hint="eastAsia"/>
          <w:sz w:val="84"/>
          <w:szCs w:val="84"/>
        </w:rPr>
        <w:t>第一部分</w:t>
      </w:r>
    </w:p>
    <w:p>
      <w:pPr>
        <w:pStyle w:val="9"/>
        <w:jc w:val="center"/>
        <w:rPr>
          <w:sz w:val="84"/>
          <w:szCs w:val="84"/>
        </w:rPr>
      </w:pPr>
    </w:p>
    <w:p>
      <w:pPr>
        <w:pStyle w:val="9"/>
        <w:jc w:val="center"/>
        <w:rPr>
          <w:sz w:val="84"/>
          <w:szCs w:val="84"/>
        </w:rPr>
      </w:pPr>
      <w:r>
        <w:rPr>
          <w:rFonts w:hint="eastAsia"/>
          <w:sz w:val="84"/>
          <w:szCs w:val="84"/>
        </w:rPr>
        <w:t>怀化市鹤城区文学艺术界联合会概况</w:t>
      </w:r>
    </w:p>
    <w:p>
      <w:pPr>
        <w:jc w:val="center"/>
        <w:rPr>
          <w:sz w:val="72"/>
          <w:szCs w:val="72"/>
          <w:highlight w:val="yellow"/>
        </w:rPr>
      </w:pPr>
    </w:p>
    <w:p>
      <w:pPr>
        <w:jc w:val="center"/>
        <w:rPr>
          <w:sz w:val="72"/>
          <w:szCs w:val="72"/>
          <w:highlight w:val="yellow"/>
        </w:rPr>
      </w:pPr>
    </w:p>
    <w:p>
      <w:pPr>
        <w:jc w:val="center"/>
        <w:rPr>
          <w:sz w:val="72"/>
          <w:szCs w:val="72"/>
          <w:highlight w:val="yellow"/>
        </w:rPr>
      </w:pPr>
    </w:p>
    <w:p>
      <w:pPr>
        <w:jc w:val="center"/>
        <w:rPr>
          <w:sz w:val="72"/>
          <w:szCs w:val="72"/>
          <w:highlight w:val="yellow"/>
        </w:rPr>
      </w:pPr>
    </w:p>
    <w:p>
      <w:pPr>
        <w:jc w:val="center"/>
        <w:rPr>
          <w:sz w:val="72"/>
          <w:szCs w:val="72"/>
          <w:highlight w:val="yellow"/>
        </w:rPr>
      </w:pPr>
    </w:p>
    <w:p>
      <w:pPr>
        <w:pStyle w:val="10"/>
        <w:ind w:left="720" w:firstLine="0" w:firstLineChars="0"/>
        <w:jc w:val="left"/>
        <w:rPr>
          <w:rFonts w:ascii="黑体" w:hAnsi="黑体" w:eastAsia="黑体"/>
          <w:sz w:val="32"/>
          <w:szCs w:val="32"/>
          <w:highlight w:val="yellow"/>
        </w:rPr>
      </w:pPr>
    </w:p>
    <w:p>
      <w:pPr>
        <w:pStyle w:val="10"/>
        <w:ind w:left="720" w:firstLine="0" w:firstLineChars="0"/>
        <w:jc w:val="left"/>
        <w:rPr>
          <w:rFonts w:ascii="黑体" w:hAnsi="黑体" w:eastAsia="黑体"/>
          <w:sz w:val="32"/>
          <w:szCs w:val="32"/>
          <w:highlight w:val="yellow"/>
        </w:rPr>
      </w:pPr>
    </w:p>
    <w:p>
      <w:pPr>
        <w:pStyle w:val="10"/>
        <w:ind w:left="720" w:firstLine="0" w:firstLineChars="0"/>
        <w:jc w:val="left"/>
        <w:rPr>
          <w:rFonts w:ascii="黑体" w:hAnsi="黑体" w:eastAsia="黑体"/>
          <w:sz w:val="32"/>
          <w:szCs w:val="32"/>
          <w:highlight w:val="yellow"/>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pStyle w:val="10"/>
        <w:widowControl/>
        <w:spacing w:line="600" w:lineRule="exact"/>
        <w:ind w:left="720" w:firstLine="0" w:firstLineChars="0"/>
        <w:rPr>
          <w:rFonts w:ascii="宋体" w:hAnsi="宋体" w:eastAsia="宋体" w:cs="宋体"/>
          <w:bCs/>
          <w:kern w:val="0"/>
          <w:sz w:val="30"/>
          <w:szCs w:val="30"/>
        </w:rPr>
      </w:pPr>
      <w:r>
        <w:rPr>
          <w:rFonts w:hint="eastAsia" w:ascii="宋体" w:hAnsi="宋体" w:eastAsia="宋体" w:cs="宋体"/>
          <w:color w:val="000000"/>
          <w:sz w:val="30"/>
          <w:szCs w:val="30"/>
          <w:shd w:val="clear" w:color="auto" w:fill="FFFFFF"/>
        </w:rPr>
        <w:t>区文联是区委、区政府领导下的文学艺术界的群众团体，其主要任务是贯彻党的文艺路线、方针、政策，为繁荣社会主义文艺事业奉献力量；负责对区各文艺协会、文艺界人士的联络、服务、协调的职责，开展多种多样的文艺创作研讨、文艺评奖、纪念活动，总结交流创作经验；加强与上级文联，兄弟县、市（区）文联的联系，增进友谊，开展对外文化交流活动；承办区委、区政府交办的其他事项。</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ind w:firstLine="640" w:firstLineChars="200"/>
        <w:rPr>
          <w:rFonts w:ascii="Times New Roman" w:hAnsi="Times New Roman" w:eastAsia="仿宋_GB2312"/>
          <w:bCs/>
          <w:kern w:val="0"/>
          <w:sz w:val="32"/>
          <w:szCs w:val="32"/>
        </w:rPr>
      </w:pPr>
      <w:r>
        <w:rPr>
          <w:rFonts w:hint="eastAsia" w:asciiTheme="minorEastAsia" w:hAnsiTheme="minorEastAsia"/>
          <w:bCs/>
          <w:kern w:val="0"/>
          <w:sz w:val="32"/>
          <w:szCs w:val="32"/>
        </w:rPr>
        <w:t>（一）内设机构设置。</w:t>
      </w:r>
      <w:r>
        <w:rPr>
          <w:rFonts w:hint="eastAsia" w:asciiTheme="minorEastAsia" w:hAnsiTheme="minorEastAsia" w:cstheme="minorEastAsia"/>
          <w:bCs/>
          <w:kern w:val="0"/>
          <w:sz w:val="32"/>
          <w:szCs w:val="32"/>
        </w:rPr>
        <w:t>鹤城区文学艺术界联合会内设办公室。</w:t>
      </w:r>
    </w:p>
    <w:p>
      <w:pPr>
        <w:widowControl/>
        <w:spacing w:line="600" w:lineRule="exact"/>
        <w:ind w:firstLine="640" w:firstLineChars="200"/>
        <w:rPr>
          <w:rFonts w:ascii="Times New Roman" w:hAnsi="Times New Roman" w:eastAsia="仿宋_GB2312"/>
          <w:bCs/>
          <w:kern w:val="0"/>
          <w:sz w:val="32"/>
          <w:szCs w:val="32"/>
        </w:rPr>
      </w:pPr>
      <w:r>
        <w:rPr>
          <w:rFonts w:hint="eastAsia" w:asciiTheme="minorEastAsia" w:hAnsiTheme="minorEastAsia"/>
          <w:bCs/>
          <w:kern w:val="0"/>
          <w:sz w:val="32"/>
          <w:szCs w:val="32"/>
        </w:rPr>
        <w:t>（二）决算单位构成。</w:t>
      </w:r>
      <w:r>
        <w:rPr>
          <w:rFonts w:hint="eastAsia" w:asciiTheme="minorEastAsia" w:hAnsiTheme="minorEastAsia" w:cstheme="minorEastAsia"/>
          <w:bCs/>
          <w:kern w:val="0"/>
          <w:sz w:val="32"/>
          <w:szCs w:val="32"/>
        </w:rPr>
        <w:t>区文联2020年部门决算汇总公开单位构成为本单位</w:t>
      </w:r>
      <w:r>
        <w:rPr>
          <w:rFonts w:hint="eastAsia" w:ascii="Times New Roman" w:hAnsi="Times New Roman" w:eastAsia="仿宋_GB2312" w:cs="Times New Roman"/>
          <w:bCs/>
          <w:kern w:val="0"/>
          <w:sz w:val="32"/>
          <w:szCs w:val="32"/>
        </w:rPr>
        <w:t>。</w:t>
      </w:r>
    </w:p>
    <w:p>
      <w:pPr>
        <w:jc w:val="center"/>
        <w:rPr>
          <w:rFonts w:ascii="黑体" w:hAnsi="黑体" w:eastAsia="黑体"/>
          <w:sz w:val="28"/>
          <w:szCs w:val="28"/>
          <w:highlight w:val="yellow"/>
        </w:rPr>
      </w:pPr>
    </w:p>
    <w:p>
      <w:pPr>
        <w:jc w:val="center"/>
        <w:rPr>
          <w:rFonts w:ascii="黑体" w:hAnsi="黑体" w:eastAsia="黑体"/>
          <w:sz w:val="28"/>
          <w:szCs w:val="28"/>
          <w:highlight w:val="yellow"/>
        </w:rPr>
      </w:pPr>
    </w:p>
    <w:p>
      <w:pPr>
        <w:jc w:val="center"/>
        <w:rPr>
          <w:rFonts w:ascii="黑体" w:hAnsi="黑体" w:eastAsia="黑体"/>
          <w:sz w:val="28"/>
          <w:szCs w:val="28"/>
          <w:highlight w:val="yellow"/>
        </w:rPr>
      </w:pPr>
    </w:p>
    <w:p>
      <w:pPr>
        <w:jc w:val="center"/>
        <w:rPr>
          <w:rFonts w:ascii="黑体" w:hAnsi="黑体" w:eastAsia="黑体"/>
          <w:sz w:val="28"/>
          <w:szCs w:val="28"/>
          <w:highlight w:val="yellow"/>
        </w:rPr>
      </w:pPr>
    </w:p>
    <w:p>
      <w:pPr>
        <w:jc w:val="center"/>
        <w:rPr>
          <w:rFonts w:ascii="黑体" w:hAnsi="黑体" w:eastAsia="黑体"/>
          <w:sz w:val="28"/>
          <w:szCs w:val="28"/>
          <w:highlight w:val="yellow"/>
        </w:rPr>
      </w:pPr>
    </w:p>
    <w:p>
      <w:pPr>
        <w:jc w:val="center"/>
        <w:rPr>
          <w:rFonts w:ascii="黑体" w:hAnsi="黑体" w:eastAsia="黑体"/>
          <w:sz w:val="28"/>
          <w:szCs w:val="28"/>
          <w:highlight w:val="yellow"/>
        </w:rPr>
      </w:pPr>
    </w:p>
    <w:p>
      <w:pPr>
        <w:jc w:val="center"/>
        <w:rPr>
          <w:rFonts w:ascii="黑体" w:hAnsi="黑体" w:eastAsia="黑体"/>
          <w:sz w:val="28"/>
          <w:szCs w:val="28"/>
          <w:highlight w:val="yellow"/>
        </w:rPr>
      </w:pPr>
    </w:p>
    <w:p>
      <w:pPr>
        <w:jc w:val="center"/>
        <w:rPr>
          <w:rFonts w:ascii="黑体" w:hAnsi="黑体" w:eastAsia="黑体"/>
          <w:sz w:val="28"/>
          <w:szCs w:val="28"/>
          <w:highlight w:val="yellow"/>
        </w:rPr>
      </w:pPr>
    </w:p>
    <w:p>
      <w:pPr>
        <w:jc w:val="center"/>
        <w:rPr>
          <w:rFonts w:ascii="黑体" w:hAnsi="黑体" w:eastAsia="黑体"/>
          <w:sz w:val="28"/>
          <w:szCs w:val="28"/>
          <w:highlight w:val="yellow"/>
        </w:rPr>
      </w:pPr>
    </w:p>
    <w:p>
      <w:pPr>
        <w:jc w:val="center"/>
        <w:rPr>
          <w:rFonts w:ascii="黑体" w:hAnsi="黑体" w:eastAsia="黑体"/>
          <w:sz w:val="28"/>
          <w:szCs w:val="28"/>
          <w:highlight w:val="yellow"/>
        </w:rPr>
      </w:pPr>
    </w:p>
    <w:p>
      <w:pPr>
        <w:jc w:val="center"/>
        <w:rPr>
          <w:rFonts w:ascii="黑体" w:hAnsi="黑体" w:eastAsia="黑体"/>
          <w:sz w:val="28"/>
          <w:szCs w:val="28"/>
          <w:highlight w:val="yellow"/>
        </w:rPr>
      </w:pPr>
    </w:p>
    <w:p>
      <w:pPr>
        <w:jc w:val="center"/>
        <w:rPr>
          <w:sz w:val="72"/>
          <w:szCs w:val="72"/>
          <w:highlight w:val="yellow"/>
        </w:rPr>
      </w:pPr>
    </w:p>
    <w:p>
      <w:pPr>
        <w:jc w:val="center"/>
        <w:rPr>
          <w:sz w:val="72"/>
          <w:szCs w:val="72"/>
          <w:highlight w:val="yellow"/>
        </w:rPr>
      </w:pPr>
    </w:p>
    <w:p>
      <w:pPr>
        <w:jc w:val="center"/>
        <w:rPr>
          <w:sz w:val="72"/>
          <w:szCs w:val="72"/>
          <w:highlight w:val="yellow"/>
        </w:rPr>
      </w:pPr>
    </w:p>
    <w:p>
      <w:pPr>
        <w:jc w:val="center"/>
        <w:rPr>
          <w:sz w:val="72"/>
          <w:szCs w:val="72"/>
          <w:highlight w:val="yellow"/>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r>
        <w:rPr>
          <w:sz w:val="72"/>
          <w:szCs w:val="72"/>
        </w:rPr>
        <w:br w:type="textWrapping"/>
      </w:r>
      <w:r>
        <w:rPr>
          <w:rFonts w:hint="eastAsia"/>
          <w:sz w:val="72"/>
          <w:szCs w:val="72"/>
        </w:rPr>
        <w:t>（表格见附件）</w:t>
      </w:r>
    </w:p>
    <w:p>
      <w:pPr>
        <w:jc w:val="center"/>
        <w:rPr>
          <w:sz w:val="72"/>
          <w:szCs w:val="72"/>
        </w:rPr>
      </w:pPr>
    </w:p>
    <w:p>
      <w:pPr>
        <w:jc w:val="center"/>
        <w:rPr>
          <w:sz w:val="72"/>
          <w:szCs w:val="72"/>
          <w:highlight w:val="yellow"/>
        </w:rPr>
      </w:pPr>
    </w:p>
    <w:p>
      <w:pPr>
        <w:jc w:val="center"/>
        <w:rPr>
          <w:sz w:val="72"/>
          <w:szCs w:val="72"/>
          <w:highlight w:val="yellow"/>
        </w:rPr>
      </w:pPr>
    </w:p>
    <w:p>
      <w:pPr>
        <w:jc w:val="center"/>
        <w:rPr>
          <w:sz w:val="72"/>
          <w:szCs w:val="72"/>
          <w:highlight w:val="yellow"/>
        </w:rPr>
      </w:pPr>
    </w:p>
    <w:p>
      <w:pPr>
        <w:jc w:val="center"/>
        <w:rPr>
          <w:sz w:val="72"/>
          <w:szCs w:val="72"/>
          <w:highlight w:val="yellow"/>
        </w:rPr>
      </w:pPr>
    </w:p>
    <w:p>
      <w:pPr>
        <w:jc w:val="center"/>
        <w:rPr>
          <w:sz w:val="72"/>
          <w:szCs w:val="72"/>
          <w:highlight w:val="yellow"/>
        </w:rPr>
      </w:pPr>
    </w:p>
    <w:p>
      <w:pPr>
        <w:jc w:val="left"/>
        <w:rPr>
          <w:sz w:val="32"/>
          <w:szCs w:val="32"/>
          <w:highlight w:val="yellow"/>
        </w:rPr>
      </w:pPr>
    </w:p>
    <w:p>
      <w:pPr>
        <w:pStyle w:val="9"/>
        <w:jc w:val="center"/>
        <w:rPr>
          <w:sz w:val="72"/>
          <w:szCs w:val="72"/>
          <w:highlight w:val="yellow"/>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20年度部门决算情况说明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2020年度收入合计40.37万元。与上年相比，减少23.76万元，减少37.05%，主要是因为厉行节约，</w:t>
      </w:r>
      <w:r>
        <w:rPr>
          <w:rFonts w:asciiTheme="minorEastAsia" w:hAnsiTheme="minorEastAsia" w:eastAsiaTheme="minorEastAsia"/>
          <w:sz w:val="32"/>
          <w:szCs w:val="32"/>
        </w:rPr>
        <w:t>一般性支出压减</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2020年度支出合计40.37万元。与上年相比，减少23.76万元，减少37.05%，主要是因为厉行节约，</w:t>
      </w:r>
      <w:r>
        <w:rPr>
          <w:rFonts w:asciiTheme="minorEastAsia" w:hAnsiTheme="minorEastAsia" w:eastAsiaTheme="minorEastAsia"/>
          <w:sz w:val="32"/>
          <w:szCs w:val="32"/>
        </w:rPr>
        <w:t>一般性支出压减</w:t>
      </w:r>
      <w:r>
        <w:rPr>
          <w:rFonts w:hint="eastAsia" w:asciiTheme="minorEastAsia" w:hAnsiTheme="minorEastAsia" w:eastAsiaTheme="minorEastAsia"/>
          <w:sz w:val="32"/>
          <w:szCs w:val="32"/>
        </w:rPr>
        <w:t>。</w:t>
      </w:r>
    </w:p>
    <w:p>
      <w:pPr>
        <w:pStyle w:val="9"/>
        <w:ind w:firstLine="640" w:firstLineChars="200"/>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本年收入合计40.37万元，其中：财政拨款收入40.37万元，占100%；上级补助收入0万元，占0%；事业收入0万元，占0%；经营收入0万元，占0%；附属单位上缴收入0万元，占0%；其他收入0万元，占0%。</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本年支出合计40.37万元，其中：基本支出32.38万元，占80.2%；项目支出7.99万元，占19.8%；上缴上级支出0万元，占0%；经营支出0万元，占0%；对附属单位补助支出0万元，占0%。</w:t>
      </w:r>
    </w:p>
    <w:p>
      <w:pPr>
        <w:pStyle w:val="9"/>
        <w:rPr>
          <w:rFonts w:hAnsi="黑体"/>
          <w:b/>
          <w:sz w:val="32"/>
          <w:szCs w:val="32"/>
        </w:rPr>
      </w:pPr>
      <w:r>
        <w:rPr>
          <w:rFonts w:hint="eastAsia" w:hAnsi="黑体"/>
          <w:b/>
          <w:sz w:val="32"/>
          <w:szCs w:val="32"/>
        </w:rPr>
        <w:t>四、财政拨款收入支出决算总体情况说明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2020年度财政拨款收入合计40.37万元。与上年相比，减少23.76万元，减少37.05%，主要是因为厉行节约，</w:t>
      </w:r>
      <w:r>
        <w:rPr>
          <w:rFonts w:asciiTheme="minorEastAsia" w:hAnsiTheme="minorEastAsia" w:eastAsiaTheme="minorEastAsia"/>
          <w:sz w:val="32"/>
          <w:szCs w:val="32"/>
        </w:rPr>
        <w:t>一般性支出压减</w:t>
      </w:r>
      <w:r>
        <w:rPr>
          <w:rFonts w:hint="eastAsia" w:asciiTheme="minorEastAsia" w:hAnsiTheme="minorEastAsia" w:eastAsiaTheme="minorEastAsia"/>
          <w:sz w:val="32"/>
          <w:szCs w:val="32"/>
        </w:rPr>
        <w:t>。</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2020年度财政拨款支出合计40.37万元。与上年相比，减少23.76万元，减少37.05%，主要是因为厉行节约，</w:t>
      </w:r>
      <w:r>
        <w:rPr>
          <w:rFonts w:asciiTheme="minorEastAsia" w:hAnsiTheme="minorEastAsia" w:eastAsiaTheme="minorEastAsia"/>
          <w:sz w:val="32"/>
          <w:szCs w:val="32"/>
        </w:rPr>
        <w:t>一般性支出压减</w:t>
      </w:r>
      <w:r>
        <w:rPr>
          <w:rFonts w:hint="eastAsia" w:asciiTheme="minorEastAsia" w:hAnsiTheme="minorEastAsia" w:eastAsiaTheme="minorEastAsia"/>
          <w:sz w:val="32"/>
          <w:szCs w:val="32"/>
        </w:rPr>
        <w:t>。</w:t>
      </w:r>
    </w:p>
    <w:p>
      <w:pPr>
        <w:pStyle w:val="9"/>
        <w:ind w:firstLine="640" w:firstLineChars="200"/>
        <w:rPr>
          <w:rFonts w:hAnsi="黑体"/>
          <w:b/>
          <w:sz w:val="32"/>
          <w:szCs w:val="32"/>
        </w:rPr>
      </w:pP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2020年度财政拨款支出合计40.37万元。与上年相比，减少23.76万元，减少37.05%，主要是因为厉行节约，</w:t>
      </w:r>
      <w:r>
        <w:rPr>
          <w:rFonts w:asciiTheme="minorEastAsia" w:hAnsiTheme="minorEastAsia" w:eastAsiaTheme="minorEastAsia"/>
          <w:sz w:val="32"/>
          <w:szCs w:val="32"/>
        </w:rPr>
        <w:t>一般性支出压减</w:t>
      </w:r>
      <w:r>
        <w:rPr>
          <w:rFonts w:hint="eastAsia" w:asciiTheme="minorEastAsia" w:hAnsiTheme="minorEastAsia" w:eastAsiaTheme="minorEastAsia"/>
          <w:sz w:val="32"/>
          <w:szCs w:val="32"/>
        </w:rPr>
        <w:t>。</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2020年度财政拨款支出40.37万元，主要用于以下方面：一般公共服务（类）支出26.75万元，占66.26%；社会保障和就业支出（类）支出5.63万元，占13.94%;卫生健康支出（类）支出7.99万元，占19.8%</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2020年度财政拨款支出年初预算数为77.88万元，支出决算数为40.37万元，完成年初预算的51.84%，其中：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1、一般公共服务（类）群众团体事务（款）行政运行（项）。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年初预算为46.75万元，支出决算为26.75万元，完成年初预算的57.22%，决算数小于年初预算数主要是因为财政年中调减预算，压减经费支出。</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2、社会保障和就业支出（类）行政事业单位养老支出（款）机关事业单位基本养老保险缴费支出（项）。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年初预算为15.63万元，支出决算为5.63万元，完成年初预算的36.02%，决算数小于年初预算数主要是因为年中人员变动，财政年中调减预算。</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3、卫生健康支出（类）公共卫生（款）突发公共卫生事件应急处理（项）。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年初预算为15.5万元，支出决算为7.99万元，完成年初预算的51.54%，决算数小于年初预算数主要是因为疫情年中预算调整，减少开支。</w:t>
      </w:r>
    </w:p>
    <w:p>
      <w:pPr>
        <w:pStyle w:val="9"/>
        <w:rPr>
          <w:rFonts w:hint="eastAsia" w:hAnsi="黑体"/>
          <w:b/>
          <w:sz w:val="32"/>
          <w:szCs w:val="32"/>
        </w:rPr>
      </w:pPr>
    </w:p>
    <w:p>
      <w:pPr>
        <w:pStyle w:val="9"/>
        <w:rPr>
          <w:rFonts w:hAnsi="黑体"/>
          <w:b/>
          <w:sz w:val="32"/>
          <w:szCs w:val="32"/>
        </w:rPr>
      </w:pPr>
      <w:r>
        <w:rPr>
          <w:rFonts w:hint="eastAsia" w:hAnsi="黑体"/>
          <w:b/>
          <w:sz w:val="32"/>
          <w:szCs w:val="32"/>
        </w:rPr>
        <w:t>六、一般公共预算财政拨款基本支出决算情况说明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2020年度财政拨款基本支出32.38万元，其中：人员经费31.02万元，占基本支出的95.79%,主要包括基本工资、奖金、伙食补助费、生活补助等；公用经费1.36万元，占基本支出的4.21%，主要包括办公费、印刷费</w:t>
      </w:r>
      <w:r>
        <w:rPr>
          <w:rFonts w:asciiTheme="minorEastAsia" w:hAnsiTheme="minorEastAsia" w:eastAsiaTheme="minorEastAsia"/>
          <w:sz w:val="32"/>
          <w:szCs w:val="32"/>
        </w:rPr>
        <w:t>等</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“三公”经费财政拨款支出预算为0万元，支出决算为0万元，完成预算的0%，其中：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因公出国（境）费支出预算为0万元，支出决算为0万元，完成预算的0%，单位无出国出境。</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公务接待费支出预算为0万元，支出决算为0万元，完成预算的0%，我单位未发生公务接待。</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公务用车购置费及运行维护费支出预算为0万元，支出决算为0万元，完成预算的0%，我单位无公车。</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2020年度“三公”经费财政拨款支出决算中，公务接待费支出决算0万元，占0%,因公出国（境）费支出决算0万元，占0%,公务用车购置费及运行维护费支出决算0万元，占0%。其中：</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1、因公出国（境）费支出决算为0万元，全年安排因公出国（境）团组0个，累计0人次, 单位无出国出境。</w:t>
      </w:r>
      <w:r>
        <w:rPr>
          <w:rFonts w:asciiTheme="minorEastAsia" w:hAnsiTheme="minorEastAsia" w:eastAsiaTheme="minorEastAsia"/>
          <w:sz w:val="32"/>
          <w:szCs w:val="32"/>
        </w:rPr>
        <w:br w:type="textWrapping"/>
      </w:r>
      <w:r>
        <w:rPr>
          <w:rFonts w:hint="eastAsia" w:asciiTheme="minorEastAsia" w:hAnsiTheme="minorEastAsia" w:eastAsiaTheme="minorEastAsia"/>
          <w:sz w:val="32"/>
          <w:szCs w:val="32"/>
        </w:rPr>
        <w:t xml:space="preserve">     2、公务接待费支出决算为0万元，全年共接待来访团组0个、来宾0人次，我单位未发生公务接待。</w:t>
      </w:r>
    </w:p>
    <w:p>
      <w:pPr>
        <w:pStyle w:val="9"/>
        <w:ind w:firstLine="640" w:firstLineChars="200"/>
        <w:rPr>
          <w:rFonts w:asciiTheme="minorEastAsia" w:hAnsiTheme="minorEastAsia"/>
          <w:sz w:val="32"/>
          <w:szCs w:val="32"/>
        </w:rPr>
      </w:pPr>
      <w:r>
        <w:rPr>
          <w:rFonts w:hint="eastAsia" w:asciiTheme="minorEastAsia" w:hAnsiTheme="minorEastAsia"/>
          <w:sz w:val="32"/>
          <w:szCs w:val="32"/>
        </w:rPr>
        <w:t>3、公务用车购置费及运行维护费支出决算为0万元，其中：公务用车购置费0万元，更新公务用车0辆</w:t>
      </w:r>
      <w:r>
        <w:rPr>
          <w:rFonts w:hint="eastAsia" w:asciiTheme="minorEastAsia" w:hAnsiTheme="minorEastAsia"/>
          <w:color w:val="000000" w:themeColor="text1"/>
          <w:sz w:val="32"/>
          <w:szCs w:val="32"/>
        </w:rPr>
        <w:t>。</w:t>
      </w:r>
      <w:r>
        <w:rPr>
          <w:rFonts w:hint="eastAsia" w:asciiTheme="minorEastAsia" w:hAnsiTheme="minorEastAsia"/>
          <w:sz w:val="32"/>
          <w:szCs w:val="32"/>
        </w:rPr>
        <w:t>公务用车运行维护费0万元，截止2020年12月31日，我单位开支财政拨款的公务用车保有量为0辆。</w:t>
      </w:r>
    </w:p>
    <w:p>
      <w:pPr>
        <w:pStyle w:val="9"/>
        <w:rPr>
          <w:rFonts w:hAnsi="黑体"/>
          <w:b/>
          <w:sz w:val="32"/>
          <w:szCs w:val="32"/>
        </w:rPr>
      </w:pPr>
      <w:r>
        <w:rPr>
          <w:rFonts w:hint="eastAsia" w:hAnsi="黑体"/>
          <w:b/>
          <w:sz w:val="32"/>
          <w:szCs w:val="32"/>
        </w:rPr>
        <w:t>八、政府性基金预算收入支出决算情况</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2020年度政府性基金预算财政拨款收入0万元；年初结转和结余0万元；支出0万元，其中基本支出0万元，项目支出0万元；年末结转和结余0万元。本单位无政府性基金收支</w:t>
      </w:r>
    </w:p>
    <w:p>
      <w:pPr>
        <w:pStyle w:val="9"/>
        <w:rPr>
          <w:rFonts w:hAnsi="黑体"/>
          <w:b/>
          <w:sz w:val="32"/>
          <w:szCs w:val="32"/>
        </w:rPr>
      </w:pPr>
      <w:r>
        <w:rPr>
          <w:rFonts w:hint="eastAsia" w:hAnsi="黑体"/>
          <w:b/>
          <w:sz w:val="32"/>
          <w:szCs w:val="32"/>
        </w:rPr>
        <w:t>九、关于机关运行经费支出说明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本部门2020年度机关运行经费支出1.36万元，比上年决算数减少1.87万元，下降57.91%。主要原因是：本年压缩一般性支出，厉行节俭，支出经费相应减少。</w:t>
      </w:r>
    </w:p>
    <w:p>
      <w:pPr>
        <w:pStyle w:val="9"/>
        <w:rPr>
          <w:rFonts w:hAnsi="黑体"/>
          <w:b/>
          <w:sz w:val="32"/>
          <w:szCs w:val="32"/>
        </w:rPr>
      </w:pPr>
      <w:r>
        <w:rPr>
          <w:rFonts w:hint="eastAsia" w:hAnsi="黑体"/>
          <w:b/>
          <w:sz w:val="32"/>
          <w:szCs w:val="32"/>
        </w:rPr>
        <w:t>十、一般性支出情况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2020年本部门开支会议费0万元，开支培训费0万元，我单位未举办节庆、晚会、论坛、赛事等活动。</w:t>
      </w:r>
    </w:p>
    <w:p>
      <w:pPr>
        <w:pStyle w:val="9"/>
        <w:rPr>
          <w:rFonts w:hAnsi="黑体"/>
          <w:b/>
          <w:sz w:val="32"/>
          <w:szCs w:val="32"/>
        </w:rPr>
      </w:pPr>
      <w:r>
        <w:rPr>
          <w:rFonts w:hint="eastAsia" w:hAnsi="黑体"/>
          <w:b/>
          <w:sz w:val="32"/>
          <w:szCs w:val="32"/>
        </w:rPr>
        <w:t>十一、关于政府采购支出说明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本部门2020年度政府采购支出总额0万元，其中：政府采购货物支出0万元、政府采购工程支出0 万元、政府采购服务支出0万元。授予中小企业合同金额0万元，占政府采购支出总额的0%，其中：授予小微企业合同金额0万元，占政府采购支出总额的0%。</w:t>
      </w:r>
    </w:p>
    <w:p>
      <w:pPr>
        <w:pStyle w:val="9"/>
        <w:rPr>
          <w:rFonts w:hAnsi="黑体"/>
          <w:b/>
          <w:sz w:val="32"/>
          <w:szCs w:val="32"/>
        </w:rPr>
      </w:pPr>
      <w:r>
        <w:rPr>
          <w:rFonts w:hint="eastAsia" w:hAnsi="黑体"/>
          <w:b/>
          <w:sz w:val="32"/>
          <w:szCs w:val="32"/>
        </w:rPr>
        <w:t>十二、关于国有资产占用情况说明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截至2020年12月31日，本单位共有车辆0辆，其中，主要领导干部用车0辆，机要通信用车0辆、应急保障用车0辆、执法执勤用车0辆、特种专业技术用车0辆、其他用车0辆，单位价值50万元以上通用设备0台（套）；单位价值100万元以上专用设备0台（套）。</w:t>
      </w:r>
    </w:p>
    <w:p>
      <w:pPr>
        <w:pStyle w:val="9"/>
        <w:rPr>
          <w:rFonts w:hAnsi="黑体"/>
          <w:b/>
          <w:sz w:val="32"/>
          <w:szCs w:val="32"/>
        </w:rPr>
      </w:pPr>
      <w:r>
        <w:rPr>
          <w:rFonts w:hint="eastAsia" w:hAnsi="黑体"/>
          <w:b/>
          <w:sz w:val="32"/>
          <w:szCs w:val="32"/>
        </w:rPr>
        <w:t>十三、关于2020年度预算绩效情况的说明</w:t>
      </w:r>
    </w:p>
    <w:p>
      <w:pPr>
        <w:pStyle w:val="9"/>
        <w:rPr>
          <w:rFonts w:asciiTheme="minorEastAsia" w:hAnsiTheme="minorEastAsia" w:eastAsiaTheme="minorEastAsia"/>
          <w:sz w:val="32"/>
          <w:szCs w:val="32"/>
        </w:rPr>
      </w:pPr>
      <w:r>
        <w:rPr>
          <w:rFonts w:hint="eastAsia" w:asciiTheme="minorEastAsia" w:hAnsiTheme="minorEastAsia" w:eastAsiaTheme="minorEastAsia"/>
          <w:sz w:val="32"/>
          <w:szCs w:val="32"/>
        </w:rPr>
        <w:t>本部门预算绩效管理开展情况、绩效目标和绩效评价报告附后</w:t>
      </w:r>
    </w:p>
    <w:p>
      <w:pPr>
        <w:pStyle w:val="9"/>
        <w:rPr>
          <w:rFonts w:hAnsi="黑体"/>
          <w:b/>
          <w:sz w:val="32"/>
          <w:szCs w:val="32"/>
          <w:highlight w:val="yellow"/>
        </w:rPr>
      </w:pPr>
    </w:p>
    <w:p>
      <w:pPr>
        <w:pStyle w:val="9"/>
        <w:jc w:val="center"/>
        <w:rPr>
          <w:sz w:val="72"/>
          <w:szCs w:val="72"/>
          <w:highlight w:val="yellow"/>
        </w:rPr>
      </w:pPr>
    </w:p>
    <w:p>
      <w:pPr>
        <w:pStyle w:val="9"/>
        <w:jc w:val="center"/>
        <w:rPr>
          <w:sz w:val="72"/>
          <w:szCs w:val="72"/>
          <w:highlight w:val="yellow"/>
        </w:rPr>
      </w:pPr>
    </w:p>
    <w:p>
      <w:pPr>
        <w:pStyle w:val="9"/>
        <w:jc w:val="center"/>
        <w:rPr>
          <w:sz w:val="72"/>
          <w:szCs w:val="72"/>
          <w:highlight w:val="yellow"/>
        </w:rPr>
      </w:pPr>
    </w:p>
    <w:p>
      <w:pPr>
        <w:pStyle w:val="9"/>
        <w:jc w:val="center"/>
        <w:rPr>
          <w:sz w:val="72"/>
          <w:szCs w:val="72"/>
          <w:highlight w:val="yellow"/>
        </w:rPr>
      </w:pPr>
    </w:p>
    <w:p>
      <w:pPr>
        <w:pStyle w:val="9"/>
        <w:jc w:val="center"/>
        <w:rPr>
          <w:sz w:val="72"/>
          <w:szCs w:val="72"/>
          <w:highlight w:val="yellow"/>
        </w:rPr>
      </w:pPr>
    </w:p>
    <w:p>
      <w:pPr>
        <w:pStyle w:val="9"/>
        <w:jc w:val="center"/>
        <w:rPr>
          <w:sz w:val="72"/>
          <w:szCs w:val="72"/>
          <w:highlight w:val="yellow"/>
        </w:rPr>
      </w:pPr>
    </w:p>
    <w:p>
      <w:pPr>
        <w:pStyle w:val="9"/>
        <w:jc w:val="center"/>
        <w:rPr>
          <w:sz w:val="72"/>
          <w:szCs w:val="72"/>
          <w:highlight w:val="yellow"/>
        </w:rPr>
      </w:pPr>
    </w:p>
    <w:p>
      <w:pPr>
        <w:pStyle w:val="9"/>
        <w:jc w:val="center"/>
        <w:rPr>
          <w:sz w:val="72"/>
          <w:szCs w:val="72"/>
          <w:highlight w:val="yellow"/>
        </w:rPr>
      </w:pPr>
    </w:p>
    <w:p>
      <w:pPr>
        <w:pStyle w:val="9"/>
        <w:jc w:val="center"/>
        <w:rPr>
          <w:sz w:val="72"/>
          <w:szCs w:val="72"/>
          <w:highlight w:val="yellow"/>
        </w:rPr>
      </w:pPr>
    </w:p>
    <w:p>
      <w:pPr>
        <w:pStyle w:val="9"/>
        <w:jc w:val="center"/>
        <w:rPr>
          <w:sz w:val="72"/>
          <w:szCs w:val="72"/>
          <w:highlight w:val="yellow"/>
        </w:rPr>
      </w:pPr>
    </w:p>
    <w:p>
      <w:pPr>
        <w:pStyle w:val="9"/>
        <w:jc w:val="center"/>
        <w:rPr>
          <w:sz w:val="72"/>
          <w:szCs w:val="72"/>
          <w:highlight w:val="yellow"/>
        </w:rPr>
      </w:pPr>
    </w:p>
    <w:p>
      <w:pPr>
        <w:pStyle w:val="9"/>
        <w:jc w:val="center"/>
        <w:rPr>
          <w:sz w:val="72"/>
          <w:szCs w:val="72"/>
          <w:highlight w:val="yellow"/>
        </w:rPr>
      </w:pPr>
    </w:p>
    <w:p>
      <w:pPr>
        <w:pStyle w:val="9"/>
        <w:jc w:val="center"/>
        <w:rPr>
          <w:sz w:val="72"/>
          <w:szCs w:val="72"/>
          <w:highlight w:val="yellow"/>
        </w:rPr>
      </w:pPr>
    </w:p>
    <w:p>
      <w:pPr>
        <w:pStyle w:val="9"/>
        <w:jc w:val="center"/>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highlight w:val="yellow"/>
        </w:rPr>
      </w:pPr>
    </w:p>
    <w:p>
      <w:pPr>
        <w:spacing w:line="600" w:lineRule="exact"/>
        <w:ind w:firstLine="640" w:firstLineChars="200"/>
        <w:rPr>
          <w:rFonts w:ascii="Calibri" w:hAnsi="Calibri" w:eastAsia="仿宋_GB2312" w:cs="宋体"/>
          <w:kern w:val="0"/>
          <w:sz w:val="32"/>
          <w:szCs w:val="32"/>
        </w:rPr>
      </w:pPr>
      <w:r>
        <w:rPr>
          <w:rFonts w:hint="eastAsia" w:eastAsia="仿宋_GB2312"/>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pPr>
        <w:spacing w:line="600" w:lineRule="exact"/>
        <w:ind w:firstLine="640" w:firstLineChars="200"/>
        <w:rPr>
          <w:rFonts w:eastAsia="仿宋_GB2312"/>
          <w:kern w:val="0"/>
          <w:sz w:val="32"/>
          <w:szCs w:val="32"/>
        </w:rPr>
      </w:pPr>
      <w:r>
        <w:rPr>
          <w:rFonts w:hint="eastAsia" w:eastAsia="仿宋_GB2312"/>
          <w:kern w:val="0"/>
          <w:sz w:val="32"/>
          <w:szCs w:val="32"/>
        </w:rPr>
        <w:t>二、</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经费：纳入财政预算管理的</w:t>
      </w:r>
      <w:r>
        <w:rPr>
          <w:rFonts w:eastAsia="仿宋_GB2312"/>
          <w:kern w:val="0"/>
          <w:sz w:val="32"/>
          <w:szCs w:val="32"/>
        </w:rPr>
        <w:t>“</w:t>
      </w:r>
      <w:r>
        <w:rPr>
          <w:rFonts w:hint="eastAsia" w:eastAsia="仿宋_GB2312"/>
          <w:kern w:val="0"/>
          <w:sz w:val="32"/>
          <w:szCs w:val="32"/>
        </w:rPr>
        <w:t>三公</w:t>
      </w:r>
      <w:r>
        <w:rPr>
          <w:rFonts w:eastAsia="仿宋_GB2312"/>
          <w:kern w:val="0"/>
          <w:sz w:val="32"/>
          <w:szCs w:val="32"/>
        </w:rPr>
        <w:t>“</w:t>
      </w:r>
      <w:r>
        <w:rPr>
          <w:rFonts w:hint="eastAsia" w:eastAsia="仿宋_GB2312"/>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highlight w:val="yellow"/>
        </w:rPr>
      </w:pPr>
    </w:p>
    <w:p>
      <w:pPr>
        <w:spacing w:line="600" w:lineRule="exact"/>
        <w:jc w:val="center"/>
        <w:rPr>
          <w:rFonts w:eastAsia="方正小标宋_GBK"/>
          <w:sz w:val="36"/>
          <w:szCs w:val="36"/>
        </w:rPr>
      </w:pPr>
      <w:r>
        <w:rPr>
          <w:rFonts w:hint="eastAsia" w:eastAsia="方正小标宋_GBK"/>
          <w:sz w:val="36"/>
          <w:szCs w:val="36"/>
        </w:rPr>
        <w:t>2020年</w:t>
      </w:r>
      <w:r>
        <w:rPr>
          <w:rFonts w:eastAsia="方正小标宋_GBK"/>
          <w:sz w:val="36"/>
          <w:szCs w:val="36"/>
        </w:rPr>
        <w:t>部门整体支出绩效评价报告</w:t>
      </w:r>
    </w:p>
    <w:p>
      <w:pPr>
        <w:spacing w:line="600" w:lineRule="exact"/>
        <w:jc w:val="center"/>
        <w:rPr>
          <w:rFonts w:eastAsia="楷体_GB2312"/>
          <w:sz w:val="32"/>
          <w:szCs w:val="32"/>
        </w:rPr>
      </w:pPr>
      <w:r>
        <w:rPr>
          <w:rFonts w:hint="eastAsia" w:ascii="宋体" w:hAnsi="宋体"/>
          <w:sz w:val="32"/>
          <w:szCs w:val="32"/>
        </w:rPr>
        <w:t>（区文联）</w:t>
      </w:r>
    </w:p>
    <w:p>
      <w:pPr>
        <w:spacing w:line="600" w:lineRule="exact"/>
        <w:jc w:val="center"/>
        <w:rPr>
          <w:rFonts w:eastAsia="方正小标宋_GBK"/>
          <w:sz w:val="32"/>
          <w:szCs w:val="32"/>
        </w:rPr>
      </w:pPr>
      <w:r>
        <w:rPr>
          <w:rFonts w:eastAsia="方正小标宋_GBK"/>
          <w:sz w:val="32"/>
          <w:szCs w:val="32"/>
        </w:rPr>
        <w:t xml:space="preserve"> </w:t>
      </w:r>
    </w:p>
    <w:p>
      <w:pPr>
        <w:pStyle w:val="10"/>
        <w:widowControl/>
        <w:spacing w:line="600" w:lineRule="exact"/>
        <w:ind w:left="640" w:firstLineChars="0"/>
        <w:rPr>
          <w:rFonts w:ascii="Times New Roman" w:hAnsi="Times New Roman" w:eastAsia="黑体"/>
          <w:sz w:val="32"/>
          <w:szCs w:val="32"/>
        </w:rPr>
      </w:pPr>
      <w:r>
        <w:rPr>
          <w:rFonts w:hint="eastAsia" w:ascii="黑体" w:hAnsi="黑体" w:eastAsia="黑体"/>
          <w:sz w:val="32"/>
          <w:szCs w:val="32"/>
        </w:rPr>
        <w:t>一、部门、单位基本情况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怀化市鹤城区文学艺术界联合会成立于1998年，怀化市鹤城区文学艺术界联合会内设机构包括：内设办公室，文艺家协会活动室。负责宣传贯彻党和国家的方针政策，扩大对外交流，力推文艺精品，完成区委区政府交办的各项事务。起到“联络、协调、服务、指导”功能。</w:t>
      </w:r>
    </w:p>
    <w:p>
      <w:pPr>
        <w:pStyle w:val="10"/>
        <w:spacing w:line="560" w:lineRule="exact"/>
        <w:ind w:firstLineChars="0"/>
        <w:rPr>
          <w:rFonts w:hint="eastAsia" w:ascii="仿宋" w:hAnsi="仿宋" w:eastAsia="仿宋"/>
          <w:sz w:val="32"/>
          <w:szCs w:val="32"/>
        </w:rPr>
      </w:pPr>
      <w:r>
        <w:rPr>
          <w:rFonts w:hint="eastAsia" w:ascii="仿宋" w:hAnsi="仿宋" w:eastAsia="仿宋"/>
          <w:sz w:val="32"/>
          <w:szCs w:val="32"/>
        </w:rPr>
        <w:t>鹤城区文学艺术界联合会共有编制5人，实有在职人员3人，退休2人。</w:t>
      </w:r>
    </w:p>
    <w:p>
      <w:pPr>
        <w:widowControl/>
        <w:spacing w:line="600" w:lineRule="exact"/>
        <w:ind w:firstLine="640" w:firstLineChars="200"/>
        <w:rPr>
          <w:rFonts w:hint="eastAsia" w:eastAsia="黑体"/>
          <w:sz w:val="32"/>
          <w:szCs w:val="32"/>
        </w:rPr>
      </w:pPr>
      <w:r>
        <w:rPr>
          <w:rFonts w:hint="eastAsia" w:ascii="黑体" w:hAnsi="黑体" w:eastAsia="黑体"/>
          <w:sz w:val="32"/>
          <w:szCs w:val="32"/>
        </w:rPr>
        <w:t>二、一般公共预算支出情况</w:t>
      </w:r>
    </w:p>
    <w:p>
      <w:pPr>
        <w:pStyle w:val="10"/>
        <w:widowControl/>
        <w:spacing w:line="600" w:lineRule="exact"/>
        <w:ind w:left="640" w:firstLine="0" w:firstLineChars="0"/>
        <w:rPr>
          <w:rFonts w:hint="eastAsia" w:ascii="Times New Roman" w:hAnsi="Times New Roman" w:eastAsia="黑体"/>
          <w:sz w:val="32"/>
          <w:szCs w:val="32"/>
        </w:rPr>
      </w:pPr>
      <w:r>
        <w:rPr>
          <w:rFonts w:hint="eastAsia" w:ascii="黑体" w:hAnsi="黑体" w:eastAsia="黑体"/>
          <w:sz w:val="32"/>
          <w:szCs w:val="32"/>
        </w:rPr>
        <w:t>（一）基本支出情况</w:t>
      </w:r>
    </w:p>
    <w:p>
      <w:pPr>
        <w:pStyle w:val="10"/>
        <w:widowControl/>
        <w:spacing w:line="600" w:lineRule="exact"/>
        <w:ind w:firstLine="640"/>
        <w:rPr>
          <w:rFonts w:hint="eastAsia" w:ascii="仿宋" w:hAnsi="仿宋" w:eastAsia="仿宋"/>
          <w:sz w:val="32"/>
          <w:szCs w:val="32"/>
        </w:rPr>
      </w:pPr>
      <w:r>
        <w:rPr>
          <w:rFonts w:hint="eastAsia" w:ascii="仿宋" w:hAnsi="仿宋" w:eastAsia="仿宋"/>
          <w:sz w:val="32"/>
          <w:szCs w:val="32"/>
        </w:rPr>
        <w:t>1.收入预算：2020年总收入 40.37万元，其中一般公共预算财政拨款收入 40.37万元。</w:t>
      </w:r>
    </w:p>
    <w:p>
      <w:pPr>
        <w:pStyle w:val="10"/>
        <w:widowControl/>
        <w:spacing w:line="600" w:lineRule="exact"/>
        <w:ind w:firstLine="640"/>
        <w:rPr>
          <w:rFonts w:hint="eastAsia" w:ascii="仿宋" w:hAnsi="仿宋" w:eastAsia="仿宋"/>
          <w:sz w:val="32"/>
          <w:szCs w:val="32"/>
        </w:rPr>
      </w:pPr>
      <w:r>
        <w:rPr>
          <w:rFonts w:hint="eastAsia" w:ascii="仿宋" w:hAnsi="仿宋" w:eastAsia="仿宋"/>
          <w:sz w:val="32"/>
          <w:szCs w:val="32"/>
        </w:rPr>
        <w:t>2.支出预算：2020年总支出 40.37万元，其中基本支出 32.3</w:t>
      </w:r>
      <w:r>
        <w:rPr>
          <w:rFonts w:hint="eastAsia" w:ascii="仿宋" w:hAnsi="仿宋" w:eastAsia="仿宋"/>
          <w:sz w:val="32"/>
          <w:szCs w:val="32"/>
          <w:lang w:val="en-US" w:eastAsia="zh-CN"/>
        </w:rPr>
        <w:t>8</w:t>
      </w:r>
      <w:r>
        <w:rPr>
          <w:rFonts w:hint="eastAsia" w:ascii="仿宋" w:hAnsi="仿宋" w:eastAsia="仿宋"/>
          <w:sz w:val="32"/>
          <w:szCs w:val="32"/>
        </w:rPr>
        <w:t>万元。（其中人员经费 31.0</w:t>
      </w:r>
      <w:r>
        <w:rPr>
          <w:rFonts w:hint="eastAsia" w:ascii="仿宋" w:hAnsi="仿宋" w:eastAsia="仿宋"/>
          <w:sz w:val="32"/>
          <w:szCs w:val="32"/>
          <w:lang w:val="en-US" w:eastAsia="zh-CN"/>
        </w:rPr>
        <w:t>2</w:t>
      </w:r>
      <w:r>
        <w:rPr>
          <w:rFonts w:hint="eastAsia" w:ascii="仿宋" w:hAnsi="仿宋" w:eastAsia="仿宋"/>
          <w:sz w:val="32"/>
          <w:szCs w:val="32"/>
        </w:rPr>
        <w:t>万元，公用经费支出 1.36万元。）</w:t>
      </w:r>
    </w:p>
    <w:p>
      <w:pPr>
        <w:pStyle w:val="10"/>
        <w:widowControl/>
        <w:spacing w:line="600" w:lineRule="exact"/>
        <w:ind w:firstLine="640"/>
        <w:rPr>
          <w:rFonts w:hint="eastAsia" w:ascii="仿宋" w:hAnsi="仿宋" w:eastAsia="仿宋"/>
          <w:sz w:val="32"/>
          <w:szCs w:val="32"/>
        </w:rPr>
      </w:pPr>
      <w:r>
        <w:rPr>
          <w:rFonts w:hint="eastAsia" w:ascii="仿宋" w:hAnsi="仿宋" w:eastAsia="仿宋"/>
          <w:sz w:val="32"/>
          <w:szCs w:val="32"/>
        </w:rPr>
        <w:t>3.“三公经费”增减情况：本年度三公经费支出额为0万元，其中，因公出国（境）费0元，公务用车购置及运行维护费0元，公务接待费0万元，较上年度增加0万元。</w:t>
      </w:r>
    </w:p>
    <w:p>
      <w:pPr>
        <w:pStyle w:val="10"/>
        <w:widowControl/>
        <w:spacing w:line="600" w:lineRule="exact"/>
        <w:ind w:firstLine="640"/>
        <w:rPr>
          <w:rFonts w:hint="eastAsia" w:ascii="仿宋" w:hAnsi="仿宋" w:eastAsia="仿宋"/>
          <w:sz w:val="32"/>
          <w:szCs w:val="32"/>
        </w:rPr>
      </w:pPr>
      <w:r>
        <w:rPr>
          <w:rFonts w:hint="eastAsia" w:ascii="仿宋" w:hAnsi="仿宋" w:eastAsia="仿宋"/>
          <w:sz w:val="32"/>
          <w:szCs w:val="32"/>
        </w:rPr>
        <w:t>4.政府采购执行情况：2020年度政府采购预算为0万元。</w:t>
      </w:r>
    </w:p>
    <w:p>
      <w:pPr>
        <w:pStyle w:val="10"/>
        <w:widowControl/>
        <w:spacing w:line="600" w:lineRule="exact"/>
        <w:ind w:firstLine="320" w:firstLineChars="100"/>
        <w:rPr>
          <w:rFonts w:hint="eastAsia" w:ascii="Times New Roman" w:hAnsi="Times New Roman" w:eastAsia="黑体"/>
          <w:sz w:val="32"/>
          <w:szCs w:val="32"/>
        </w:rPr>
      </w:pPr>
      <w:r>
        <w:rPr>
          <w:rFonts w:hint="eastAsia" w:ascii="黑体" w:hAnsi="黑体" w:eastAsia="黑体"/>
          <w:sz w:val="32"/>
          <w:szCs w:val="32"/>
        </w:rPr>
        <w:t>（二）项目支出情况</w:t>
      </w:r>
    </w:p>
    <w:p>
      <w:pPr>
        <w:pStyle w:val="10"/>
        <w:widowControl/>
        <w:spacing w:line="600" w:lineRule="exact"/>
        <w:ind w:firstLine="640"/>
        <w:rPr>
          <w:rFonts w:ascii="仿宋" w:hAnsi="仿宋" w:eastAsia="仿宋"/>
          <w:sz w:val="32"/>
          <w:szCs w:val="32"/>
        </w:rPr>
      </w:pPr>
      <w:r>
        <w:rPr>
          <w:rFonts w:hint="eastAsia" w:ascii="仿宋" w:hAnsi="仿宋" w:eastAsia="仿宋"/>
          <w:sz w:val="32"/>
          <w:szCs w:val="32"/>
        </w:rPr>
        <w:t>两方面：一是2020年度专项资金安排都为业务工作资金7.99万元。</w:t>
      </w:r>
    </w:p>
    <w:p>
      <w:pPr>
        <w:widowControl/>
        <w:spacing w:line="600" w:lineRule="exact"/>
        <w:ind w:firstLine="640" w:firstLineChars="200"/>
        <w:jc w:val="left"/>
        <w:rPr>
          <w:rFonts w:hint="eastAsia" w:ascii="仿宋" w:hAnsi="仿宋" w:eastAsia="仿宋"/>
          <w:sz w:val="32"/>
          <w:szCs w:val="32"/>
        </w:rPr>
      </w:pPr>
      <w:r>
        <w:rPr>
          <w:rFonts w:hint="eastAsia" w:ascii="仿宋" w:hAnsi="仿宋" w:eastAsia="仿宋"/>
          <w:sz w:val="32"/>
          <w:szCs w:val="32"/>
        </w:rPr>
        <w:t>2.项目支出使用情况：①2020年度年初预算7.99万元，年底决算 7.99万元。②2020年度年初预算工作经费 1.36万元，年底决算 1.36万元。</w:t>
      </w:r>
    </w:p>
    <w:p>
      <w:pPr>
        <w:pStyle w:val="10"/>
        <w:widowControl/>
        <w:spacing w:line="600" w:lineRule="exact"/>
        <w:ind w:left="640" w:firstLineChars="0"/>
        <w:jc w:val="left"/>
        <w:rPr>
          <w:rFonts w:hint="eastAsia" w:ascii="仿宋" w:hAnsi="仿宋" w:eastAsia="仿宋"/>
          <w:sz w:val="32"/>
          <w:szCs w:val="32"/>
        </w:rPr>
      </w:pPr>
      <w:r>
        <w:rPr>
          <w:rFonts w:hint="eastAsia" w:ascii="黑体" w:hAnsi="黑体" w:eastAsia="黑体"/>
          <w:sz w:val="32"/>
          <w:szCs w:val="32"/>
        </w:rPr>
        <w:t>政府性基金预算支出情况</w:t>
      </w:r>
    </w:p>
    <w:p>
      <w:pPr>
        <w:pStyle w:val="10"/>
        <w:widowControl/>
        <w:spacing w:line="600" w:lineRule="exact"/>
        <w:ind w:left="640" w:firstLine="0" w:firstLineChars="0"/>
        <w:jc w:val="left"/>
        <w:rPr>
          <w:rFonts w:hint="eastAsia" w:ascii="仿宋" w:hAnsi="仿宋" w:eastAsia="仿宋"/>
          <w:sz w:val="32"/>
          <w:szCs w:val="32"/>
        </w:rPr>
      </w:pPr>
      <w:r>
        <w:rPr>
          <w:rFonts w:hint="eastAsia" w:ascii="仿宋" w:hAnsi="仿宋" w:eastAsia="仿宋"/>
          <w:sz w:val="32"/>
          <w:szCs w:val="32"/>
        </w:rPr>
        <w:t>无政府性基金预算支出。</w:t>
      </w:r>
    </w:p>
    <w:p>
      <w:pPr>
        <w:pStyle w:val="10"/>
        <w:widowControl/>
        <w:spacing w:line="600" w:lineRule="exact"/>
        <w:ind w:left="640" w:firstLineChars="0"/>
        <w:jc w:val="left"/>
        <w:rPr>
          <w:rFonts w:hint="eastAsia" w:ascii="Times New Roman" w:hAnsi="Times New Roman" w:eastAsia="黑体"/>
          <w:sz w:val="32"/>
          <w:szCs w:val="32"/>
        </w:rPr>
      </w:pPr>
      <w:r>
        <w:rPr>
          <w:rFonts w:hint="eastAsia" w:ascii="黑体" w:hAnsi="黑体" w:eastAsia="黑体"/>
          <w:sz w:val="32"/>
          <w:szCs w:val="32"/>
        </w:rPr>
        <w:t>国有资本经营预算支出情况</w:t>
      </w:r>
    </w:p>
    <w:p>
      <w:pPr>
        <w:pStyle w:val="10"/>
        <w:widowControl/>
        <w:spacing w:line="600" w:lineRule="exact"/>
        <w:ind w:left="640" w:firstLine="0" w:firstLineChars="0"/>
        <w:jc w:val="left"/>
        <w:rPr>
          <w:rFonts w:ascii="仿宋" w:hAnsi="仿宋" w:eastAsia="仿宋"/>
          <w:sz w:val="32"/>
          <w:szCs w:val="32"/>
        </w:rPr>
      </w:pPr>
      <w:r>
        <w:rPr>
          <w:rFonts w:hint="eastAsia" w:ascii="仿宋" w:hAnsi="仿宋" w:eastAsia="仿宋"/>
          <w:sz w:val="32"/>
          <w:szCs w:val="32"/>
        </w:rPr>
        <w:t>无国有资本经营预算支出。</w:t>
      </w:r>
    </w:p>
    <w:p>
      <w:pPr>
        <w:pStyle w:val="10"/>
        <w:widowControl/>
        <w:spacing w:line="600" w:lineRule="exact"/>
        <w:ind w:left="640" w:firstLineChars="0"/>
        <w:jc w:val="left"/>
        <w:rPr>
          <w:rFonts w:hint="eastAsia" w:ascii="Times New Roman" w:hAnsi="Times New Roman" w:eastAsia="黑体"/>
          <w:sz w:val="32"/>
          <w:szCs w:val="32"/>
        </w:rPr>
      </w:pPr>
      <w:r>
        <w:rPr>
          <w:rFonts w:hint="eastAsia" w:ascii="黑体" w:hAnsi="黑体" w:eastAsia="黑体"/>
          <w:sz w:val="32"/>
          <w:szCs w:val="32"/>
        </w:rPr>
        <w:t>社会保险基金预算支出情况</w:t>
      </w:r>
    </w:p>
    <w:p>
      <w:pPr>
        <w:pStyle w:val="10"/>
        <w:widowControl/>
        <w:spacing w:line="600" w:lineRule="exact"/>
        <w:ind w:left="640" w:firstLine="0" w:firstLineChars="0"/>
        <w:jc w:val="left"/>
        <w:rPr>
          <w:rFonts w:ascii="仿宋" w:hAnsi="仿宋" w:eastAsia="仿宋"/>
          <w:sz w:val="32"/>
          <w:szCs w:val="32"/>
        </w:rPr>
      </w:pPr>
      <w:r>
        <w:rPr>
          <w:rFonts w:hint="eastAsia" w:ascii="仿宋" w:hAnsi="仿宋" w:eastAsia="仿宋"/>
          <w:sz w:val="32"/>
          <w:szCs w:val="32"/>
        </w:rPr>
        <w:t>无社会保险基金预算支出。</w:t>
      </w:r>
    </w:p>
    <w:p>
      <w:pPr>
        <w:widowControl/>
        <w:spacing w:line="600" w:lineRule="exact"/>
        <w:ind w:firstLine="645"/>
        <w:jc w:val="left"/>
        <w:rPr>
          <w:rFonts w:hint="eastAsia" w:eastAsia="黑体"/>
          <w:sz w:val="32"/>
          <w:szCs w:val="32"/>
        </w:rPr>
      </w:pPr>
      <w:r>
        <w:rPr>
          <w:rFonts w:hint="eastAsia" w:ascii="黑体" w:hAnsi="黑体" w:eastAsia="黑体"/>
          <w:sz w:val="32"/>
          <w:szCs w:val="32"/>
        </w:rPr>
        <w:t>六、部门整体支出绩效情况</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2020年度，我文联结合工作实际，坚持“统筹兼顾、保证重点、量入为出、收支平衡”。经费应重点用于协会参与省、市级以上文学艺术活动和协会自行组织开展采风、培训、文艺交流、文艺评奖和理论研讨等活动。</w:t>
      </w:r>
    </w:p>
    <w:p>
      <w:pPr>
        <w:spacing w:line="560" w:lineRule="exact"/>
        <w:ind w:firstLine="800" w:firstLineChars="250"/>
        <w:rPr>
          <w:rFonts w:hint="eastAsia" w:ascii="仿宋" w:hAnsi="仿宋" w:eastAsia="仿宋"/>
          <w:b/>
          <w:color w:val="000000"/>
          <w:sz w:val="32"/>
          <w:szCs w:val="32"/>
        </w:rPr>
      </w:pPr>
      <w:r>
        <w:rPr>
          <w:rFonts w:hint="eastAsia" w:ascii="仿宋" w:hAnsi="仿宋" w:eastAsia="仿宋"/>
          <w:b/>
          <w:color w:val="000000"/>
          <w:sz w:val="32"/>
          <w:szCs w:val="32"/>
        </w:rPr>
        <w:t>2020年部门整体支出绩效评价单位自评得为95分。等级为优秀。</w:t>
      </w:r>
    </w:p>
    <w:p>
      <w:pPr>
        <w:pStyle w:val="10"/>
        <w:widowControl/>
        <w:spacing w:line="600" w:lineRule="exact"/>
        <w:ind w:firstLine="640"/>
        <w:jc w:val="left"/>
        <w:rPr>
          <w:rFonts w:hint="eastAsia" w:ascii="Times New Roman" w:hAnsi="Times New Roman" w:eastAsia="黑体"/>
          <w:sz w:val="32"/>
          <w:szCs w:val="32"/>
        </w:rPr>
      </w:pPr>
      <w:r>
        <w:rPr>
          <w:rFonts w:hint="eastAsia" w:ascii="黑体" w:hAnsi="黑体" w:eastAsia="黑体"/>
          <w:sz w:val="32"/>
          <w:szCs w:val="32"/>
        </w:rPr>
        <w:t>七、存在的问题及原因分析</w:t>
      </w:r>
    </w:p>
    <w:p>
      <w:pPr>
        <w:spacing w:line="600" w:lineRule="exact"/>
        <w:ind w:firstLine="640" w:firstLineChars="200"/>
        <w:rPr>
          <w:rFonts w:hint="eastAsia" w:ascii="仿宋" w:hAnsi="仿宋" w:eastAsia="仿宋"/>
          <w:sz w:val="32"/>
          <w:szCs w:val="32"/>
        </w:rPr>
      </w:pPr>
      <w:r>
        <w:rPr>
          <w:rFonts w:hint="eastAsia" w:ascii="仿宋" w:hAnsi="仿宋" w:eastAsia="仿宋"/>
          <w:color w:val="333333"/>
          <w:sz w:val="32"/>
          <w:szCs w:val="32"/>
          <w:shd w:val="clear" w:color="auto" w:fill="FFFFFF"/>
        </w:rPr>
        <w:t>文联的经费来源有些不足，存在着责任同等，经费不一，保障各异的突出问题。</w:t>
      </w:r>
    </w:p>
    <w:p>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建议：争取其他部门大力支持，提供开展各项活动的经费保障。</w:t>
      </w:r>
    </w:p>
    <w:p>
      <w:pPr>
        <w:pStyle w:val="10"/>
        <w:widowControl/>
        <w:spacing w:line="600" w:lineRule="exact"/>
        <w:ind w:firstLineChars="0"/>
        <w:jc w:val="left"/>
        <w:rPr>
          <w:rFonts w:hint="eastAsia" w:eastAsia="黑体"/>
          <w:sz w:val="32"/>
          <w:szCs w:val="32"/>
        </w:rPr>
      </w:pPr>
      <w:r>
        <w:rPr>
          <w:rFonts w:hint="eastAsia" w:ascii="黑体" w:hAnsi="黑体" w:eastAsia="黑体"/>
          <w:sz w:val="32"/>
          <w:szCs w:val="32"/>
        </w:rPr>
        <w:t>下一步改进措施</w:t>
      </w:r>
    </w:p>
    <w:p>
      <w:pPr>
        <w:ind w:firstLine="640" w:firstLineChars="200"/>
        <w:rPr>
          <w:rFonts w:hint="eastAsia" w:ascii="仿宋" w:hAnsi="仿宋" w:eastAsia="仿宋"/>
          <w:sz w:val="32"/>
          <w:szCs w:val="32"/>
        </w:rPr>
      </w:pPr>
      <w:r>
        <w:rPr>
          <w:rFonts w:hint="eastAsia" w:ascii="仿宋" w:hAnsi="仿宋" w:eastAsia="仿宋"/>
          <w:sz w:val="32"/>
          <w:szCs w:val="32"/>
        </w:rPr>
        <w:t>1.应多加强业务培训，积极学习，不断提高在职干部人员工作能力和工作水平。</w:t>
      </w:r>
    </w:p>
    <w:p>
      <w:pPr>
        <w:ind w:firstLine="640" w:firstLineChars="200"/>
        <w:rPr>
          <w:rFonts w:hint="eastAsia" w:ascii="仿宋" w:hAnsi="仿宋" w:eastAsia="仿宋"/>
          <w:sz w:val="32"/>
          <w:szCs w:val="32"/>
        </w:rPr>
      </w:pPr>
      <w:r>
        <w:rPr>
          <w:rFonts w:hint="eastAsia" w:ascii="仿宋" w:hAnsi="仿宋" w:eastAsia="仿宋"/>
          <w:sz w:val="32"/>
          <w:szCs w:val="32"/>
        </w:rPr>
        <w:t>2.应强化绩效管理，切实提高资金使用的安全性、规范性和有效性。</w:t>
      </w:r>
    </w:p>
    <w:p>
      <w:pPr>
        <w:widowControl/>
        <w:spacing w:line="600" w:lineRule="exact"/>
        <w:ind w:firstLine="640" w:firstLineChars="200"/>
        <w:jc w:val="left"/>
        <w:rPr>
          <w:rFonts w:eastAsia="仿宋_GB2312"/>
          <w:sz w:val="32"/>
          <w:szCs w:val="32"/>
        </w:rPr>
      </w:pPr>
      <w:bookmarkStart w:id="0" w:name="_GoBack"/>
      <w:bookmarkEnd w:id="0"/>
      <w:r>
        <w:rPr>
          <w:rFonts w:eastAsia="仿宋_GB2312"/>
          <w:sz w:val="32"/>
          <w:szCs w:val="32"/>
        </w:rPr>
        <w:t xml:space="preserve"> </w:t>
      </w:r>
    </w:p>
    <w:p>
      <w:r>
        <w:t xml:space="preserve"> </w:t>
      </w:r>
    </w:p>
    <w:p>
      <w:pPr>
        <w:widowControl/>
        <w:spacing w:line="600" w:lineRule="exact"/>
        <w:ind w:firstLine="640" w:firstLineChars="200"/>
        <w:jc w:val="left"/>
        <w:rPr>
          <w:rFonts w:eastAsia="仿宋_GB2312"/>
          <w:sz w:val="32"/>
          <w:szCs w:val="32"/>
        </w:rPr>
      </w:pPr>
      <w:r>
        <w:rPr>
          <w:rFonts w:eastAsia="仿宋_GB2312"/>
          <w:sz w:val="32"/>
          <w:szCs w:val="32"/>
        </w:rPr>
        <w:t xml:space="preserve"> </w:t>
      </w:r>
    </w:p>
    <w:p>
      <w:pPr>
        <w:widowControl/>
        <w:spacing w:line="600" w:lineRule="exact"/>
        <w:ind w:firstLine="640" w:firstLineChars="200"/>
        <w:jc w:val="left"/>
        <w:rPr>
          <w:rFonts w:eastAsia="仿宋_GB2312"/>
          <w:sz w:val="32"/>
          <w:szCs w:val="32"/>
        </w:rPr>
      </w:pPr>
      <w:r>
        <w:rPr>
          <w:rFonts w:eastAsia="仿宋_GB2312"/>
          <w:sz w:val="32"/>
          <w:szCs w:val="32"/>
        </w:rPr>
        <w:t xml:space="preserve"> </w:t>
      </w:r>
    </w:p>
    <w:p>
      <w:pPr>
        <w:widowControl/>
        <w:spacing w:line="600" w:lineRule="exact"/>
        <w:ind w:firstLine="640" w:firstLineChars="200"/>
        <w:jc w:val="left"/>
        <w:rPr>
          <w:rFonts w:eastAsia="仿宋_GB2312"/>
          <w:sz w:val="32"/>
          <w:szCs w:val="32"/>
        </w:rPr>
      </w:pPr>
      <w:r>
        <w:rPr>
          <w:rFonts w:eastAsia="仿宋_GB2312"/>
          <w:sz w:val="32"/>
          <w:szCs w:val="32"/>
        </w:rPr>
        <w:t xml:space="preserve"> </w:t>
      </w:r>
    </w:p>
    <w:p>
      <w:pPr>
        <w:widowControl/>
        <w:spacing w:line="600" w:lineRule="exact"/>
        <w:ind w:firstLine="640" w:firstLineChars="200"/>
        <w:jc w:val="left"/>
        <w:rPr>
          <w:rFonts w:eastAsia="仿宋_GB2312"/>
          <w:sz w:val="32"/>
          <w:szCs w:val="32"/>
        </w:rPr>
      </w:pPr>
      <w:r>
        <w:rPr>
          <w:rFonts w:eastAsia="仿宋_GB2312"/>
          <w:sz w:val="32"/>
          <w:szCs w:val="32"/>
        </w:rPr>
        <w:t xml:space="preserve"> </w:t>
      </w:r>
    </w:p>
    <w:p>
      <w:pPr>
        <w:spacing w:line="600" w:lineRule="exact"/>
        <w:jc w:val="both"/>
        <w:rPr>
          <w:rFonts w:eastAsia="方正小标宋_GBK"/>
          <w:sz w:val="36"/>
          <w:szCs w:val="36"/>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altName w:val="Times New Roman"/>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15B7"/>
    <w:rsid w:val="00041E3F"/>
    <w:rsid w:val="00055DAA"/>
    <w:rsid w:val="00061F7B"/>
    <w:rsid w:val="000628AE"/>
    <w:rsid w:val="000658A3"/>
    <w:rsid w:val="00074155"/>
    <w:rsid w:val="000A3F69"/>
    <w:rsid w:val="000B121E"/>
    <w:rsid w:val="000C440E"/>
    <w:rsid w:val="00103957"/>
    <w:rsid w:val="00111795"/>
    <w:rsid w:val="00146739"/>
    <w:rsid w:val="00152C6D"/>
    <w:rsid w:val="00162D39"/>
    <w:rsid w:val="00165E56"/>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44F5"/>
    <w:rsid w:val="00316C4B"/>
    <w:rsid w:val="0032192B"/>
    <w:rsid w:val="003479BD"/>
    <w:rsid w:val="0037197D"/>
    <w:rsid w:val="003768D5"/>
    <w:rsid w:val="003838D5"/>
    <w:rsid w:val="003C47E6"/>
    <w:rsid w:val="003C4FC2"/>
    <w:rsid w:val="00414F88"/>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264C"/>
    <w:rsid w:val="00544866"/>
    <w:rsid w:val="005767CC"/>
    <w:rsid w:val="00590D9F"/>
    <w:rsid w:val="00595D26"/>
    <w:rsid w:val="005A74E6"/>
    <w:rsid w:val="005B404E"/>
    <w:rsid w:val="005B62D4"/>
    <w:rsid w:val="005D4D55"/>
    <w:rsid w:val="005E2CFB"/>
    <w:rsid w:val="005F3D1C"/>
    <w:rsid w:val="0062378F"/>
    <w:rsid w:val="00641842"/>
    <w:rsid w:val="00651EEC"/>
    <w:rsid w:val="00660285"/>
    <w:rsid w:val="00661E18"/>
    <w:rsid w:val="00683D84"/>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94A48"/>
    <w:rsid w:val="007C4539"/>
    <w:rsid w:val="007D1A8B"/>
    <w:rsid w:val="007F3657"/>
    <w:rsid w:val="00812ED5"/>
    <w:rsid w:val="008277D9"/>
    <w:rsid w:val="0084478C"/>
    <w:rsid w:val="00851D55"/>
    <w:rsid w:val="008539AE"/>
    <w:rsid w:val="0086638C"/>
    <w:rsid w:val="008A3E8D"/>
    <w:rsid w:val="00911DF6"/>
    <w:rsid w:val="009237C4"/>
    <w:rsid w:val="00944C48"/>
    <w:rsid w:val="00950252"/>
    <w:rsid w:val="00967F5D"/>
    <w:rsid w:val="009A0F95"/>
    <w:rsid w:val="009B3ADF"/>
    <w:rsid w:val="009C3B52"/>
    <w:rsid w:val="009E6817"/>
    <w:rsid w:val="009E6E9A"/>
    <w:rsid w:val="00A01D2B"/>
    <w:rsid w:val="00A42218"/>
    <w:rsid w:val="00A51966"/>
    <w:rsid w:val="00A70249"/>
    <w:rsid w:val="00A70B02"/>
    <w:rsid w:val="00A71D9F"/>
    <w:rsid w:val="00A841DF"/>
    <w:rsid w:val="00A92E9F"/>
    <w:rsid w:val="00AA59DD"/>
    <w:rsid w:val="00B33BEA"/>
    <w:rsid w:val="00B40B0D"/>
    <w:rsid w:val="00B57C9F"/>
    <w:rsid w:val="00B63572"/>
    <w:rsid w:val="00B845B3"/>
    <w:rsid w:val="00B85D8B"/>
    <w:rsid w:val="00B95D9E"/>
    <w:rsid w:val="00BB4A40"/>
    <w:rsid w:val="00BD6C3E"/>
    <w:rsid w:val="00BE3674"/>
    <w:rsid w:val="00C10681"/>
    <w:rsid w:val="00C3049A"/>
    <w:rsid w:val="00C31B1E"/>
    <w:rsid w:val="00C72279"/>
    <w:rsid w:val="00C77645"/>
    <w:rsid w:val="00CA3E50"/>
    <w:rsid w:val="00CE04C3"/>
    <w:rsid w:val="00CE76A0"/>
    <w:rsid w:val="00D0242F"/>
    <w:rsid w:val="00D13AA0"/>
    <w:rsid w:val="00D148C6"/>
    <w:rsid w:val="00D17A8A"/>
    <w:rsid w:val="00D415BA"/>
    <w:rsid w:val="00D644EE"/>
    <w:rsid w:val="00DD06FF"/>
    <w:rsid w:val="00DD5FE9"/>
    <w:rsid w:val="00DF3E36"/>
    <w:rsid w:val="00E00C7A"/>
    <w:rsid w:val="00E37D6C"/>
    <w:rsid w:val="00E55B68"/>
    <w:rsid w:val="00E63473"/>
    <w:rsid w:val="00E67BE6"/>
    <w:rsid w:val="00E85547"/>
    <w:rsid w:val="00E8683C"/>
    <w:rsid w:val="00EA2B72"/>
    <w:rsid w:val="00EC0160"/>
    <w:rsid w:val="00F74360"/>
    <w:rsid w:val="00FB462F"/>
    <w:rsid w:val="00FB76F3"/>
    <w:rsid w:val="00FE16FA"/>
    <w:rsid w:val="00FE328A"/>
    <w:rsid w:val="00FE6269"/>
    <w:rsid w:val="2A5B3A7C"/>
    <w:rsid w:val="430E7DB7"/>
    <w:rsid w:val="5EA87EC6"/>
    <w:rsid w:val="60005C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8E8E99-0876-4457-84BE-74A901AF77D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548</Words>
  <Characters>3126</Characters>
  <Lines>26</Lines>
  <Paragraphs>7</Paragraphs>
  <TotalTime>4</TotalTime>
  <ScaleCrop>false</ScaleCrop>
  <LinksUpToDate>false</LinksUpToDate>
  <CharactersWithSpaces>3667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2021-09-09T09:36:00Z</dcterms:created>
  <dc:creator>李航 null</dc:creator>
  <cp:lastModifiedBy>Administrator</cp:lastModifiedBy>
  <cp:lastPrinted>2021-07-28T00:12:00Z</cp:lastPrinted>
  <dcterms:modified xsi:type="dcterms:W3CDTF">2021-10-17T13:14:04Z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D7872422900D41F4AA1226DA0F583F94</vt:lpwstr>
  </property>
</Properties>
</file>