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345" w:rsidRDefault="00B15345">
      <w:pPr>
        <w:pStyle w:val="Default"/>
        <w:jc w:val="center"/>
        <w:rPr>
          <w:sz w:val="56"/>
          <w:szCs w:val="56"/>
        </w:rPr>
      </w:pPr>
    </w:p>
    <w:p w:rsidR="00B15345" w:rsidRDefault="00B15345">
      <w:pPr>
        <w:pStyle w:val="Default"/>
        <w:jc w:val="center"/>
        <w:rPr>
          <w:sz w:val="56"/>
          <w:szCs w:val="56"/>
        </w:rPr>
      </w:pPr>
    </w:p>
    <w:p w:rsidR="00B15345" w:rsidRDefault="00B15345">
      <w:pPr>
        <w:pStyle w:val="Default"/>
        <w:jc w:val="center"/>
        <w:rPr>
          <w:sz w:val="84"/>
          <w:szCs w:val="84"/>
        </w:rPr>
      </w:pPr>
    </w:p>
    <w:p w:rsidR="00B15345" w:rsidRDefault="00B15345">
      <w:pPr>
        <w:pStyle w:val="Default"/>
        <w:jc w:val="center"/>
        <w:rPr>
          <w:sz w:val="84"/>
          <w:szCs w:val="84"/>
        </w:rPr>
      </w:pPr>
    </w:p>
    <w:p w:rsidR="00B15345" w:rsidRDefault="00FC51CB">
      <w:pPr>
        <w:pStyle w:val="Default"/>
        <w:jc w:val="center"/>
        <w:rPr>
          <w:sz w:val="84"/>
          <w:szCs w:val="84"/>
        </w:rPr>
      </w:pPr>
      <w:r>
        <w:rPr>
          <w:rFonts w:hint="eastAsia"/>
          <w:sz w:val="84"/>
          <w:szCs w:val="84"/>
        </w:rPr>
        <w:t>2020年度</w:t>
      </w:r>
    </w:p>
    <w:p w:rsidR="00B15345" w:rsidRDefault="00FC51CB">
      <w:pPr>
        <w:pStyle w:val="Default"/>
        <w:jc w:val="center"/>
        <w:rPr>
          <w:sz w:val="84"/>
          <w:szCs w:val="84"/>
        </w:rPr>
      </w:pPr>
      <w:r>
        <w:rPr>
          <w:rFonts w:hint="eastAsia"/>
          <w:sz w:val="84"/>
          <w:szCs w:val="84"/>
        </w:rPr>
        <w:t>怀化市鹤城区卫生计生综合监督执法局部门决算</w:t>
      </w:r>
    </w:p>
    <w:p w:rsidR="00B15345" w:rsidRDefault="00B15345">
      <w:pPr>
        <w:pStyle w:val="Default"/>
        <w:jc w:val="center"/>
        <w:rPr>
          <w:sz w:val="56"/>
          <w:szCs w:val="56"/>
        </w:rPr>
      </w:pPr>
    </w:p>
    <w:p w:rsidR="00B15345" w:rsidRDefault="00B15345">
      <w:pPr>
        <w:pStyle w:val="Default"/>
        <w:jc w:val="center"/>
        <w:rPr>
          <w:sz w:val="56"/>
          <w:szCs w:val="56"/>
        </w:rPr>
      </w:pPr>
    </w:p>
    <w:p w:rsidR="00B15345" w:rsidRDefault="00B15345">
      <w:pPr>
        <w:pStyle w:val="Default"/>
        <w:jc w:val="center"/>
        <w:rPr>
          <w:sz w:val="56"/>
          <w:szCs w:val="56"/>
        </w:rPr>
      </w:pPr>
    </w:p>
    <w:p w:rsidR="00B15345" w:rsidRDefault="00B15345">
      <w:pPr>
        <w:pStyle w:val="Default"/>
        <w:jc w:val="center"/>
        <w:rPr>
          <w:sz w:val="56"/>
          <w:szCs w:val="56"/>
        </w:rPr>
      </w:pPr>
    </w:p>
    <w:p w:rsidR="00B15345" w:rsidRDefault="00B15345">
      <w:pPr>
        <w:pStyle w:val="Default"/>
        <w:jc w:val="center"/>
        <w:rPr>
          <w:sz w:val="32"/>
          <w:szCs w:val="32"/>
        </w:rPr>
      </w:pPr>
    </w:p>
    <w:p w:rsidR="00B15345" w:rsidRDefault="00B15345">
      <w:pPr>
        <w:pStyle w:val="Default"/>
        <w:jc w:val="center"/>
        <w:rPr>
          <w:sz w:val="32"/>
          <w:szCs w:val="32"/>
        </w:rPr>
      </w:pPr>
    </w:p>
    <w:p w:rsidR="00B15345" w:rsidRDefault="00B15345">
      <w:pPr>
        <w:pStyle w:val="Default"/>
        <w:jc w:val="center"/>
        <w:rPr>
          <w:sz w:val="32"/>
          <w:szCs w:val="32"/>
        </w:rPr>
      </w:pPr>
    </w:p>
    <w:p w:rsidR="00B15345" w:rsidRDefault="00B15345">
      <w:pPr>
        <w:pStyle w:val="Default"/>
        <w:spacing w:line="540" w:lineRule="exact"/>
        <w:jc w:val="center"/>
        <w:rPr>
          <w:sz w:val="56"/>
          <w:szCs w:val="56"/>
        </w:rPr>
      </w:pPr>
    </w:p>
    <w:p w:rsidR="00B15345" w:rsidRDefault="00B15345">
      <w:pPr>
        <w:pStyle w:val="Default"/>
        <w:spacing w:line="500" w:lineRule="exact"/>
        <w:jc w:val="center"/>
        <w:rPr>
          <w:b/>
          <w:sz w:val="36"/>
          <w:szCs w:val="28"/>
        </w:rPr>
      </w:pPr>
    </w:p>
    <w:p w:rsidR="00B15345" w:rsidRDefault="00B15345">
      <w:pPr>
        <w:pStyle w:val="Default"/>
        <w:spacing w:line="500" w:lineRule="exact"/>
        <w:jc w:val="center"/>
        <w:rPr>
          <w:b/>
          <w:sz w:val="36"/>
          <w:szCs w:val="28"/>
        </w:rPr>
      </w:pPr>
    </w:p>
    <w:p w:rsidR="00B15345" w:rsidRDefault="00FC51CB">
      <w:pPr>
        <w:pStyle w:val="Default"/>
        <w:spacing w:line="500" w:lineRule="exact"/>
        <w:jc w:val="center"/>
        <w:rPr>
          <w:b/>
          <w:sz w:val="36"/>
          <w:szCs w:val="28"/>
        </w:rPr>
      </w:pPr>
      <w:r>
        <w:rPr>
          <w:rFonts w:hint="eastAsia"/>
          <w:b/>
          <w:sz w:val="36"/>
          <w:szCs w:val="28"/>
        </w:rPr>
        <w:lastRenderedPageBreak/>
        <w:t>目录</w:t>
      </w:r>
    </w:p>
    <w:p w:rsidR="00B15345" w:rsidRDefault="00FC51CB">
      <w:pPr>
        <w:pStyle w:val="Default"/>
        <w:spacing w:line="500" w:lineRule="exact"/>
        <w:rPr>
          <w:rFonts w:ascii="仿宋_GB2312" w:hAnsi="仿宋_GB2312" w:cs="仿宋_GB2312"/>
          <w:b/>
          <w:sz w:val="28"/>
          <w:szCs w:val="28"/>
        </w:rPr>
      </w:pPr>
      <w:r>
        <w:rPr>
          <w:rFonts w:hint="eastAsia"/>
          <w:b/>
          <w:sz w:val="28"/>
          <w:szCs w:val="28"/>
        </w:rPr>
        <w:t>第一部分鹤城区卫生计生综合监督执法局概况</w:t>
      </w:r>
    </w:p>
    <w:p w:rsidR="00B15345" w:rsidRDefault="00FC51C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B15345" w:rsidRDefault="00FC51C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B15345" w:rsidRDefault="00FC51CB">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20年度部门决算表</w:t>
      </w:r>
    </w:p>
    <w:p w:rsidR="00B15345" w:rsidRDefault="00FC51C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B15345" w:rsidRDefault="00FC51C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B15345" w:rsidRDefault="00FC51C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B15345" w:rsidRDefault="00FC51C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B15345" w:rsidRDefault="00FC51C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B15345" w:rsidRDefault="00FC51C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B15345" w:rsidRDefault="00FC51C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B15345" w:rsidRDefault="00FC51C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B15345" w:rsidRDefault="00FC51C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B15345" w:rsidRDefault="00FC51CB">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20年度部门决算情况说明</w:t>
      </w:r>
    </w:p>
    <w:p w:rsidR="00B15345" w:rsidRDefault="00FC51C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B15345" w:rsidRDefault="00FC51CB">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B15345" w:rsidRDefault="00FC51C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B15345" w:rsidRDefault="00FC51C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B15345" w:rsidRDefault="00FC51C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B15345" w:rsidRDefault="00FC51C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B15345" w:rsidRDefault="00FC51C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B15345" w:rsidRDefault="00FC51C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B15345" w:rsidRDefault="00FC51C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B15345" w:rsidRDefault="00FC51C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B15345" w:rsidRDefault="00FC51C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B15345" w:rsidRDefault="00FC51CB">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B15345" w:rsidRDefault="00FC51CB">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于2020年</w:t>
      </w:r>
      <w:r>
        <w:rPr>
          <w:rFonts w:ascii="仿宋_GB2312" w:eastAsiaTheme="minorEastAsia" w:hAnsi="仿宋_GB2312" w:cs="仿宋_GB2312" w:hint="eastAsia"/>
          <w:sz w:val="28"/>
          <w:szCs w:val="28"/>
        </w:rPr>
        <w:t>度预算绩效情况的说明</w:t>
      </w:r>
    </w:p>
    <w:p w:rsidR="00B15345" w:rsidRDefault="00FC51CB">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B15345" w:rsidRDefault="00FC51CB">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B15345" w:rsidRDefault="00B15345">
      <w:pPr>
        <w:jc w:val="center"/>
        <w:rPr>
          <w:sz w:val="72"/>
          <w:szCs w:val="72"/>
        </w:rPr>
      </w:pPr>
    </w:p>
    <w:p w:rsidR="00B15345" w:rsidRDefault="00B15345">
      <w:pPr>
        <w:jc w:val="center"/>
        <w:rPr>
          <w:sz w:val="72"/>
          <w:szCs w:val="72"/>
        </w:rPr>
      </w:pPr>
    </w:p>
    <w:p w:rsidR="00B15345" w:rsidRDefault="00B15345">
      <w:pPr>
        <w:jc w:val="center"/>
        <w:rPr>
          <w:sz w:val="72"/>
          <w:szCs w:val="72"/>
        </w:rPr>
      </w:pPr>
    </w:p>
    <w:p w:rsidR="00B15345" w:rsidRDefault="00B15345">
      <w:pPr>
        <w:jc w:val="center"/>
        <w:rPr>
          <w:sz w:val="72"/>
          <w:szCs w:val="72"/>
        </w:rPr>
      </w:pPr>
    </w:p>
    <w:p w:rsidR="00B15345" w:rsidRDefault="00B15345">
      <w:pPr>
        <w:rPr>
          <w:sz w:val="72"/>
          <w:szCs w:val="72"/>
        </w:rPr>
      </w:pPr>
    </w:p>
    <w:p w:rsidR="00B15345" w:rsidRDefault="00FC51CB">
      <w:pPr>
        <w:pStyle w:val="Default"/>
        <w:jc w:val="center"/>
        <w:rPr>
          <w:sz w:val="84"/>
          <w:szCs w:val="84"/>
        </w:rPr>
      </w:pPr>
      <w:r>
        <w:rPr>
          <w:rFonts w:hint="eastAsia"/>
          <w:sz w:val="84"/>
          <w:szCs w:val="84"/>
        </w:rPr>
        <w:t>第一部分</w:t>
      </w:r>
    </w:p>
    <w:p w:rsidR="00B15345" w:rsidRDefault="00B15345">
      <w:pPr>
        <w:pStyle w:val="Default"/>
        <w:jc w:val="center"/>
        <w:rPr>
          <w:sz w:val="84"/>
          <w:szCs w:val="84"/>
        </w:rPr>
      </w:pPr>
    </w:p>
    <w:p w:rsidR="00B15345" w:rsidRDefault="00FC51CB">
      <w:pPr>
        <w:pStyle w:val="Default"/>
        <w:jc w:val="center"/>
        <w:rPr>
          <w:sz w:val="84"/>
          <w:szCs w:val="84"/>
        </w:rPr>
      </w:pPr>
      <w:r>
        <w:rPr>
          <w:rFonts w:hint="eastAsia"/>
          <w:sz w:val="84"/>
          <w:szCs w:val="84"/>
        </w:rPr>
        <w:t>怀化市鹤城区卫生计生综合监督执法局概况</w:t>
      </w:r>
    </w:p>
    <w:p w:rsidR="00B15345" w:rsidRDefault="00B15345">
      <w:pPr>
        <w:jc w:val="center"/>
        <w:rPr>
          <w:sz w:val="72"/>
          <w:szCs w:val="72"/>
        </w:rPr>
      </w:pPr>
    </w:p>
    <w:p w:rsidR="00B15345" w:rsidRDefault="00B15345">
      <w:pPr>
        <w:jc w:val="center"/>
        <w:rPr>
          <w:sz w:val="72"/>
          <w:szCs w:val="72"/>
        </w:rPr>
      </w:pPr>
    </w:p>
    <w:p w:rsidR="00B15345" w:rsidRDefault="00B15345">
      <w:pPr>
        <w:jc w:val="center"/>
        <w:rPr>
          <w:sz w:val="72"/>
          <w:szCs w:val="72"/>
        </w:rPr>
      </w:pPr>
    </w:p>
    <w:p w:rsidR="00B15345" w:rsidRDefault="00B15345">
      <w:pPr>
        <w:jc w:val="center"/>
        <w:rPr>
          <w:sz w:val="72"/>
          <w:szCs w:val="72"/>
        </w:rPr>
      </w:pPr>
    </w:p>
    <w:p w:rsidR="00B15345" w:rsidRDefault="00B15345">
      <w:pPr>
        <w:jc w:val="center"/>
        <w:rPr>
          <w:sz w:val="72"/>
          <w:szCs w:val="72"/>
        </w:rPr>
      </w:pPr>
    </w:p>
    <w:p w:rsidR="00B15345" w:rsidRDefault="00B15345">
      <w:pPr>
        <w:pStyle w:val="a6"/>
        <w:ind w:left="720" w:firstLineChars="0" w:firstLine="0"/>
        <w:jc w:val="left"/>
        <w:rPr>
          <w:rFonts w:ascii="黑体" w:eastAsia="黑体" w:hAnsi="黑体"/>
          <w:sz w:val="32"/>
          <w:szCs w:val="32"/>
        </w:rPr>
      </w:pPr>
    </w:p>
    <w:p w:rsidR="00B15345" w:rsidRDefault="00B15345">
      <w:pPr>
        <w:pStyle w:val="a6"/>
        <w:ind w:left="720" w:firstLineChars="0" w:firstLine="0"/>
        <w:jc w:val="left"/>
        <w:rPr>
          <w:rFonts w:ascii="黑体" w:eastAsia="黑体" w:hAnsi="黑体"/>
          <w:sz w:val="32"/>
          <w:szCs w:val="32"/>
        </w:rPr>
      </w:pPr>
    </w:p>
    <w:p w:rsidR="00B15345" w:rsidRDefault="00B15345">
      <w:pPr>
        <w:pStyle w:val="a6"/>
        <w:ind w:left="720" w:firstLineChars="0" w:firstLine="0"/>
        <w:jc w:val="left"/>
        <w:rPr>
          <w:rFonts w:ascii="黑体" w:eastAsia="黑体" w:hAnsi="黑体"/>
          <w:sz w:val="32"/>
          <w:szCs w:val="32"/>
        </w:rPr>
      </w:pPr>
    </w:p>
    <w:p w:rsidR="00B15345" w:rsidRDefault="00FC51CB">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B15345" w:rsidRDefault="00FC51CB">
      <w:pPr>
        <w:ind w:firstLineChars="200" w:firstLine="640"/>
      </w:pPr>
      <w:r>
        <w:rPr>
          <w:rFonts w:ascii="仿宋" w:eastAsia="仿宋" w:hAnsi="仿宋" w:cs="仿宋" w:hint="eastAsia"/>
          <w:sz w:val="32"/>
          <w:szCs w:val="32"/>
        </w:rPr>
        <w:t>为人民身体健康提供卫生监督保障。公共场所卫生监督管理、100张以内病床医疗机构执业资格、执业行为审查及发证后监督管</w:t>
      </w:r>
      <w:r>
        <w:rPr>
          <w:rFonts w:hint="eastAsia"/>
          <w:sz w:val="32"/>
          <w:szCs w:val="32"/>
        </w:rPr>
        <w:t>理</w:t>
      </w:r>
      <w:r>
        <w:rPr>
          <w:rFonts w:ascii="仿宋_GB2312" w:eastAsia="仿宋_GB2312" w:hint="eastAsia"/>
          <w:sz w:val="32"/>
          <w:szCs w:val="32"/>
        </w:rPr>
        <w:t>。</w:t>
      </w:r>
    </w:p>
    <w:p w:rsidR="00B15345" w:rsidRDefault="00B15345">
      <w:pPr>
        <w:jc w:val="left"/>
        <w:rPr>
          <w:rFonts w:ascii="仿宋_GB2312" w:eastAsia="仿宋_GB2312" w:hAnsiTheme="minorEastAsia"/>
          <w:sz w:val="28"/>
          <w:szCs w:val="32"/>
        </w:rPr>
      </w:pPr>
    </w:p>
    <w:p w:rsidR="00B15345" w:rsidRDefault="00FC51CB">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B15345" w:rsidRDefault="00FC51CB">
      <w:pPr>
        <w:spacing w:line="560" w:lineRule="exact"/>
        <w:ind w:firstLineChars="200" w:firstLine="640"/>
        <w:rPr>
          <w:rFonts w:ascii="仿宋_GB2312" w:eastAsia="仿宋_GB2312"/>
          <w:sz w:val="32"/>
          <w:szCs w:val="32"/>
        </w:rPr>
      </w:pPr>
      <w:r>
        <w:rPr>
          <w:rFonts w:asciiTheme="minorEastAsia" w:hAnsiTheme="minorEastAsia" w:hint="eastAsia"/>
          <w:bCs/>
          <w:kern w:val="0"/>
          <w:sz w:val="32"/>
          <w:szCs w:val="32"/>
        </w:rPr>
        <w:t>（一）内设机构设置。</w:t>
      </w:r>
      <w:r>
        <w:rPr>
          <w:rFonts w:ascii="仿宋_GB2312" w:eastAsia="仿宋_GB2312" w:hint="eastAsia"/>
          <w:sz w:val="32"/>
          <w:szCs w:val="32"/>
        </w:rPr>
        <w:t>鹤城区卫生计生综合监督执法局</w:t>
      </w:r>
      <w:r>
        <w:rPr>
          <w:rFonts w:asciiTheme="minorEastAsia" w:hAnsiTheme="minorEastAsia" w:hint="eastAsia"/>
          <w:bCs/>
          <w:kern w:val="0"/>
          <w:sz w:val="32"/>
          <w:szCs w:val="32"/>
        </w:rPr>
        <w:t>内设机构包括：</w:t>
      </w:r>
      <w:r>
        <w:rPr>
          <w:rFonts w:ascii="仿宋_GB2312" w:eastAsia="仿宋_GB2312" w:hint="eastAsia"/>
          <w:sz w:val="32"/>
          <w:szCs w:val="32"/>
        </w:rPr>
        <w:t>医疗执业科、公共场所科、学校科、计划生育执法科、稽查科、办公室六个科室。</w:t>
      </w:r>
    </w:p>
    <w:p w:rsidR="00B15345" w:rsidRDefault="00FC51CB">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仿宋_GB2312" w:eastAsia="仿宋_GB2312" w:hint="eastAsia"/>
          <w:sz w:val="32"/>
          <w:szCs w:val="32"/>
        </w:rPr>
        <w:t>鹤城区卫生计生综合监督执法局</w:t>
      </w:r>
      <w:r>
        <w:rPr>
          <w:rFonts w:asciiTheme="minorEastAsia" w:hAnsiTheme="minorEastAsia"/>
          <w:bCs/>
          <w:kern w:val="0"/>
          <w:sz w:val="32"/>
          <w:szCs w:val="32"/>
        </w:rPr>
        <w:t>20</w:t>
      </w:r>
      <w:r>
        <w:rPr>
          <w:rFonts w:asciiTheme="minorEastAsia" w:hAnsiTheme="minorEastAsia" w:hint="eastAsia"/>
          <w:bCs/>
          <w:kern w:val="0"/>
          <w:sz w:val="32"/>
          <w:szCs w:val="32"/>
        </w:rPr>
        <w:t>20年部门决算汇总公开单位构成包括：</w:t>
      </w:r>
      <w:r>
        <w:rPr>
          <w:rFonts w:ascii="仿宋_GB2312" w:eastAsia="仿宋_GB2312" w:hint="eastAsia"/>
          <w:sz w:val="32"/>
          <w:szCs w:val="32"/>
        </w:rPr>
        <w:t>鹤城区卫生计生综合监督执法局</w:t>
      </w:r>
      <w:r>
        <w:rPr>
          <w:rFonts w:asciiTheme="minorEastAsia" w:hAnsiTheme="minorEastAsia" w:hint="eastAsia"/>
          <w:bCs/>
          <w:kern w:val="0"/>
          <w:sz w:val="32"/>
          <w:szCs w:val="32"/>
        </w:rPr>
        <w:t>本级</w:t>
      </w:r>
    </w:p>
    <w:p w:rsidR="00B15345" w:rsidRDefault="00B15345">
      <w:pPr>
        <w:jc w:val="left"/>
        <w:rPr>
          <w:rFonts w:ascii="仿宋_GB2312" w:eastAsia="仿宋_GB2312" w:hAnsiTheme="minorEastAsia"/>
          <w:sz w:val="28"/>
          <w:szCs w:val="32"/>
        </w:rPr>
      </w:pPr>
    </w:p>
    <w:p w:rsidR="00B15345" w:rsidRDefault="00B15345">
      <w:pPr>
        <w:jc w:val="center"/>
        <w:rPr>
          <w:rFonts w:ascii="黑体" w:eastAsia="黑体" w:hAnsi="黑体"/>
          <w:sz w:val="28"/>
          <w:szCs w:val="28"/>
        </w:rPr>
      </w:pPr>
    </w:p>
    <w:p w:rsidR="00B15345" w:rsidRDefault="00B15345">
      <w:pPr>
        <w:jc w:val="center"/>
        <w:rPr>
          <w:rFonts w:ascii="黑体" w:eastAsia="黑体" w:hAnsi="黑体"/>
          <w:sz w:val="28"/>
          <w:szCs w:val="28"/>
        </w:rPr>
      </w:pPr>
    </w:p>
    <w:p w:rsidR="00B15345" w:rsidRDefault="00B15345">
      <w:pPr>
        <w:jc w:val="center"/>
        <w:rPr>
          <w:rFonts w:ascii="黑体" w:eastAsia="黑体" w:hAnsi="黑体"/>
          <w:sz w:val="28"/>
          <w:szCs w:val="28"/>
        </w:rPr>
      </w:pPr>
    </w:p>
    <w:p w:rsidR="00B15345" w:rsidRDefault="00B15345">
      <w:pPr>
        <w:jc w:val="center"/>
        <w:rPr>
          <w:rFonts w:ascii="黑体" w:eastAsia="黑体" w:hAnsi="黑体"/>
          <w:sz w:val="28"/>
          <w:szCs w:val="28"/>
        </w:rPr>
      </w:pPr>
    </w:p>
    <w:p w:rsidR="00B15345" w:rsidRDefault="00B15345">
      <w:pPr>
        <w:jc w:val="center"/>
        <w:rPr>
          <w:rFonts w:ascii="黑体" w:eastAsia="黑体" w:hAnsi="黑体"/>
          <w:sz w:val="28"/>
          <w:szCs w:val="28"/>
        </w:rPr>
      </w:pPr>
    </w:p>
    <w:p w:rsidR="00B15345" w:rsidRDefault="00B15345">
      <w:pPr>
        <w:jc w:val="center"/>
        <w:rPr>
          <w:rFonts w:ascii="黑体" w:eastAsia="黑体" w:hAnsi="黑体"/>
          <w:sz w:val="28"/>
          <w:szCs w:val="28"/>
        </w:rPr>
      </w:pPr>
    </w:p>
    <w:p w:rsidR="00B15345" w:rsidRDefault="00B15345">
      <w:pPr>
        <w:jc w:val="center"/>
        <w:rPr>
          <w:rFonts w:ascii="黑体" w:eastAsia="黑体" w:hAnsi="黑体"/>
          <w:sz w:val="28"/>
          <w:szCs w:val="28"/>
        </w:rPr>
      </w:pPr>
    </w:p>
    <w:p w:rsidR="00B15345" w:rsidRDefault="00B15345">
      <w:pPr>
        <w:jc w:val="center"/>
        <w:rPr>
          <w:rFonts w:ascii="黑体" w:eastAsia="黑体" w:hAnsi="黑体"/>
          <w:sz w:val="28"/>
          <w:szCs w:val="28"/>
        </w:rPr>
      </w:pPr>
    </w:p>
    <w:p w:rsidR="00B15345" w:rsidRDefault="00B15345">
      <w:pPr>
        <w:jc w:val="center"/>
        <w:rPr>
          <w:rFonts w:ascii="黑体" w:eastAsia="黑体" w:hAnsi="黑体"/>
          <w:sz w:val="28"/>
          <w:szCs w:val="28"/>
        </w:rPr>
      </w:pPr>
    </w:p>
    <w:p w:rsidR="00B15345" w:rsidRDefault="00B15345">
      <w:pPr>
        <w:jc w:val="center"/>
        <w:rPr>
          <w:rFonts w:ascii="黑体" w:eastAsia="黑体" w:hAnsi="黑体"/>
          <w:sz w:val="28"/>
          <w:szCs w:val="28"/>
        </w:rPr>
      </w:pPr>
    </w:p>
    <w:p w:rsidR="00B15345" w:rsidRDefault="00B15345">
      <w:pPr>
        <w:jc w:val="center"/>
        <w:rPr>
          <w:rFonts w:ascii="黑体" w:eastAsia="黑体" w:hAnsi="黑体"/>
          <w:sz w:val="28"/>
          <w:szCs w:val="28"/>
        </w:rPr>
      </w:pPr>
    </w:p>
    <w:p w:rsidR="00B15345" w:rsidRDefault="00B15345">
      <w:pPr>
        <w:jc w:val="center"/>
        <w:rPr>
          <w:rFonts w:ascii="黑体" w:eastAsia="黑体" w:hAnsi="黑体"/>
          <w:sz w:val="28"/>
          <w:szCs w:val="28"/>
        </w:rPr>
      </w:pPr>
    </w:p>
    <w:p w:rsidR="00B15345" w:rsidRDefault="00B15345">
      <w:pPr>
        <w:jc w:val="center"/>
        <w:rPr>
          <w:sz w:val="72"/>
          <w:szCs w:val="72"/>
        </w:rPr>
      </w:pPr>
    </w:p>
    <w:p w:rsidR="00B15345" w:rsidRDefault="00B15345">
      <w:pPr>
        <w:jc w:val="center"/>
        <w:rPr>
          <w:sz w:val="72"/>
          <w:szCs w:val="72"/>
        </w:rPr>
      </w:pPr>
    </w:p>
    <w:p w:rsidR="00B15345" w:rsidRDefault="00B15345">
      <w:pPr>
        <w:jc w:val="center"/>
        <w:rPr>
          <w:sz w:val="72"/>
          <w:szCs w:val="72"/>
        </w:rPr>
      </w:pPr>
    </w:p>
    <w:p w:rsidR="00B15345" w:rsidRDefault="00B15345">
      <w:pPr>
        <w:jc w:val="center"/>
        <w:rPr>
          <w:sz w:val="72"/>
          <w:szCs w:val="72"/>
        </w:rPr>
      </w:pPr>
    </w:p>
    <w:p w:rsidR="00B15345" w:rsidRDefault="00B15345">
      <w:pPr>
        <w:jc w:val="center"/>
        <w:rPr>
          <w:sz w:val="72"/>
          <w:szCs w:val="72"/>
        </w:rPr>
      </w:pPr>
    </w:p>
    <w:p w:rsidR="00B15345" w:rsidRDefault="00FC51CB">
      <w:pPr>
        <w:jc w:val="center"/>
        <w:rPr>
          <w:sz w:val="72"/>
          <w:szCs w:val="72"/>
        </w:rPr>
      </w:pPr>
      <w:r>
        <w:rPr>
          <w:rFonts w:hint="eastAsia"/>
          <w:sz w:val="72"/>
          <w:szCs w:val="72"/>
        </w:rPr>
        <w:t>第二部分</w:t>
      </w:r>
    </w:p>
    <w:p w:rsidR="00B15345" w:rsidRDefault="00B15345">
      <w:pPr>
        <w:jc w:val="center"/>
        <w:rPr>
          <w:sz w:val="72"/>
          <w:szCs w:val="72"/>
        </w:rPr>
      </w:pPr>
    </w:p>
    <w:p w:rsidR="00B15345" w:rsidRDefault="00FC51CB">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B15345" w:rsidRDefault="00B15345">
      <w:pPr>
        <w:jc w:val="center"/>
        <w:rPr>
          <w:sz w:val="72"/>
          <w:szCs w:val="72"/>
        </w:rPr>
      </w:pPr>
    </w:p>
    <w:p w:rsidR="00B15345" w:rsidRDefault="00B15345">
      <w:pPr>
        <w:jc w:val="center"/>
        <w:rPr>
          <w:sz w:val="72"/>
          <w:szCs w:val="72"/>
        </w:rPr>
      </w:pPr>
    </w:p>
    <w:p w:rsidR="00B15345" w:rsidRDefault="00B15345">
      <w:pPr>
        <w:jc w:val="center"/>
        <w:rPr>
          <w:sz w:val="72"/>
          <w:szCs w:val="72"/>
        </w:rPr>
      </w:pPr>
    </w:p>
    <w:p w:rsidR="00B15345" w:rsidRDefault="00B15345">
      <w:pPr>
        <w:jc w:val="center"/>
        <w:rPr>
          <w:sz w:val="72"/>
          <w:szCs w:val="72"/>
        </w:rPr>
      </w:pPr>
    </w:p>
    <w:p w:rsidR="00B15345" w:rsidRDefault="00B15345">
      <w:pPr>
        <w:jc w:val="center"/>
        <w:rPr>
          <w:sz w:val="72"/>
          <w:szCs w:val="72"/>
        </w:rPr>
      </w:pPr>
    </w:p>
    <w:p w:rsidR="00B15345" w:rsidRDefault="00B15345">
      <w:pPr>
        <w:jc w:val="center"/>
        <w:rPr>
          <w:sz w:val="72"/>
          <w:szCs w:val="72"/>
        </w:rPr>
      </w:pPr>
    </w:p>
    <w:p w:rsidR="00B15345" w:rsidRDefault="00B15345">
      <w:pPr>
        <w:jc w:val="left"/>
        <w:rPr>
          <w:sz w:val="32"/>
          <w:szCs w:val="32"/>
        </w:rPr>
      </w:pPr>
    </w:p>
    <w:p w:rsidR="00B15345" w:rsidRDefault="00B15345">
      <w:pPr>
        <w:jc w:val="left"/>
        <w:rPr>
          <w:rFonts w:asciiTheme="minorEastAsia" w:hAnsiTheme="minorEastAsia"/>
          <w:sz w:val="32"/>
          <w:szCs w:val="32"/>
        </w:rPr>
        <w:sectPr w:rsidR="00B15345">
          <w:pgSz w:w="11906" w:h="16838"/>
          <w:pgMar w:top="720" w:right="720" w:bottom="720" w:left="720" w:header="851" w:footer="992" w:gutter="0"/>
          <w:cols w:space="425"/>
          <w:docGrid w:type="lines" w:linePitch="312"/>
        </w:sectPr>
      </w:pPr>
    </w:p>
    <w:p w:rsidR="00B15345" w:rsidRDefault="00B15345">
      <w:pPr>
        <w:pStyle w:val="Default"/>
        <w:rPr>
          <w:sz w:val="72"/>
          <w:szCs w:val="72"/>
        </w:rPr>
      </w:pPr>
    </w:p>
    <w:p w:rsidR="00B15345" w:rsidRDefault="00B15345">
      <w:pPr>
        <w:pStyle w:val="Default"/>
        <w:rPr>
          <w:sz w:val="72"/>
          <w:szCs w:val="72"/>
        </w:rPr>
      </w:pPr>
    </w:p>
    <w:p w:rsidR="00B15345" w:rsidRDefault="00B15345">
      <w:pPr>
        <w:pStyle w:val="Default"/>
        <w:rPr>
          <w:sz w:val="72"/>
          <w:szCs w:val="72"/>
        </w:rPr>
      </w:pPr>
    </w:p>
    <w:p w:rsidR="00B15345" w:rsidRDefault="00B15345">
      <w:pPr>
        <w:pStyle w:val="Default"/>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FC51CB">
      <w:pPr>
        <w:pStyle w:val="Default"/>
        <w:jc w:val="center"/>
        <w:rPr>
          <w:sz w:val="72"/>
          <w:szCs w:val="72"/>
        </w:rPr>
      </w:pPr>
      <w:r>
        <w:rPr>
          <w:rFonts w:hint="eastAsia"/>
          <w:sz w:val="72"/>
          <w:szCs w:val="72"/>
        </w:rPr>
        <w:t>第三部分</w:t>
      </w:r>
    </w:p>
    <w:p w:rsidR="00B15345" w:rsidRDefault="00B15345">
      <w:pPr>
        <w:pStyle w:val="Default"/>
        <w:jc w:val="center"/>
        <w:rPr>
          <w:sz w:val="70"/>
          <w:szCs w:val="70"/>
        </w:rPr>
      </w:pPr>
    </w:p>
    <w:p w:rsidR="00B15345" w:rsidRDefault="00FC51CB">
      <w:pPr>
        <w:pStyle w:val="Default"/>
        <w:jc w:val="center"/>
        <w:rPr>
          <w:sz w:val="70"/>
          <w:szCs w:val="70"/>
        </w:rPr>
      </w:pPr>
      <w:r>
        <w:rPr>
          <w:sz w:val="70"/>
          <w:szCs w:val="70"/>
        </w:rPr>
        <w:t>20</w:t>
      </w:r>
      <w:r>
        <w:rPr>
          <w:rFonts w:hint="eastAsia"/>
          <w:sz w:val="70"/>
          <w:szCs w:val="70"/>
        </w:rPr>
        <w:t>20年度部门决算情况说明</w:t>
      </w:r>
    </w:p>
    <w:p w:rsidR="00B15345" w:rsidRDefault="00FC51CB">
      <w:pPr>
        <w:widowControl/>
        <w:jc w:val="left"/>
        <w:rPr>
          <w:rFonts w:ascii="黑体" w:eastAsia="黑体" w:cs="黑体"/>
          <w:color w:val="000000"/>
          <w:kern w:val="0"/>
          <w:sz w:val="70"/>
          <w:szCs w:val="70"/>
        </w:rPr>
      </w:pPr>
      <w:r>
        <w:rPr>
          <w:sz w:val="70"/>
          <w:szCs w:val="70"/>
        </w:rPr>
        <w:br w:type="page"/>
      </w:r>
    </w:p>
    <w:p w:rsidR="00B15345" w:rsidRDefault="00B15345">
      <w:pPr>
        <w:pStyle w:val="Default"/>
        <w:rPr>
          <w:rFonts w:asciiTheme="minorEastAsia" w:eastAsiaTheme="minorEastAsia" w:hAnsiTheme="minorEastAsia"/>
          <w:sz w:val="32"/>
          <w:szCs w:val="32"/>
        </w:rPr>
      </w:pPr>
    </w:p>
    <w:p w:rsidR="00B15345" w:rsidRDefault="00FC51CB">
      <w:pPr>
        <w:pStyle w:val="Default"/>
        <w:rPr>
          <w:rFonts w:hAnsi="黑体"/>
          <w:b/>
          <w:sz w:val="32"/>
          <w:szCs w:val="32"/>
        </w:rPr>
      </w:pPr>
      <w:r>
        <w:rPr>
          <w:rFonts w:hAnsi="黑体" w:hint="eastAsia"/>
          <w:b/>
          <w:sz w:val="32"/>
          <w:szCs w:val="32"/>
        </w:rPr>
        <w:t>一、收入支出决算总体情况说明</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2020年度收入合计351.8万元。与上年相比，增加85.35万元，增长32%，主要是因为上级补助收入增加。</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2020年度支出合计351.8万元。与上年相比，增加85.35万元，增长32%，主要是因为人员经费增加及项目经费增加。</w:t>
      </w:r>
    </w:p>
    <w:p w:rsidR="00B15345" w:rsidRDefault="00FC51CB">
      <w:pPr>
        <w:pStyle w:val="Default"/>
        <w:rPr>
          <w:rFonts w:hAnsi="黑体"/>
          <w:b/>
          <w:sz w:val="32"/>
          <w:szCs w:val="32"/>
        </w:rPr>
      </w:pPr>
      <w:r>
        <w:rPr>
          <w:rFonts w:hAnsi="黑体" w:hint="eastAsia"/>
          <w:b/>
          <w:sz w:val="32"/>
          <w:szCs w:val="32"/>
        </w:rPr>
        <w:t>二、收入决算情况说明</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本年收入合计3</w:t>
      </w:r>
      <w:r w:rsidR="00DB29B0">
        <w:rPr>
          <w:rFonts w:asciiTheme="minorEastAsia" w:eastAsiaTheme="minorEastAsia" w:hAnsiTheme="minorEastAsia" w:hint="eastAsia"/>
          <w:sz w:val="32"/>
          <w:szCs w:val="32"/>
        </w:rPr>
        <w:t>17.58</w:t>
      </w:r>
      <w:r>
        <w:rPr>
          <w:rFonts w:asciiTheme="minorEastAsia" w:eastAsiaTheme="minorEastAsia" w:hAnsiTheme="minorEastAsia" w:hint="eastAsia"/>
          <w:sz w:val="32"/>
          <w:szCs w:val="32"/>
        </w:rPr>
        <w:t>万元，其中：财政拨款收入233.74万元，占</w:t>
      </w:r>
      <w:r w:rsidR="00DB29B0">
        <w:rPr>
          <w:rFonts w:asciiTheme="minorEastAsia" w:eastAsiaTheme="minorEastAsia" w:hAnsiTheme="minorEastAsia" w:hint="eastAsia"/>
          <w:sz w:val="32"/>
          <w:szCs w:val="32"/>
        </w:rPr>
        <w:t>73.6</w:t>
      </w:r>
      <w:r>
        <w:rPr>
          <w:rFonts w:asciiTheme="minorEastAsia" w:eastAsiaTheme="minorEastAsia" w:hAnsiTheme="minorEastAsia" w:hint="eastAsia"/>
          <w:sz w:val="32"/>
          <w:szCs w:val="32"/>
        </w:rPr>
        <w:t>%；上级补助收入70万元，占2</w:t>
      </w:r>
      <w:r w:rsidR="00DB29B0">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%；事业收入13.73万元，占4</w:t>
      </w:r>
      <w:r w:rsidR="00DB29B0">
        <w:rPr>
          <w:rFonts w:asciiTheme="minorEastAsia" w:eastAsiaTheme="minorEastAsia" w:hAnsiTheme="minorEastAsia" w:hint="eastAsia"/>
          <w:sz w:val="32"/>
          <w:szCs w:val="32"/>
        </w:rPr>
        <w:t>.32</w:t>
      </w:r>
      <w:r>
        <w:rPr>
          <w:rFonts w:asciiTheme="minorEastAsia" w:eastAsiaTheme="minorEastAsia" w:hAnsiTheme="minorEastAsia" w:hint="eastAsia"/>
          <w:sz w:val="32"/>
          <w:szCs w:val="32"/>
        </w:rPr>
        <w:t>%；经营收入0万元，占0%；附属单位上缴收入0万元，占0%；其他收入0.1万元，占0.0</w:t>
      </w:r>
      <w:r w:rsidR="00DB29B0">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w:t>
      </w:r>
    </w:p>
    <w:p w:rsidR="00B15345" w:rsidRDefault="00FC51CB">
      <w:pPr>
        <w:pStyle w:val="Default"/>
        <w:rPr>
          <w:rFonts w:hAnsi="黑体"/>
          <w:b/>
          <w:sz w:val="32"/>
          <w:szCs w:val="32"/>
        </w:rPr>
      </w:pPr>
      <w:r>
        <w:rPr>
          <w:rFonts w:hAnsi="黑体" w:hint="eastAsia"/>
          <w:b/>
          <w:sz w:val="32"/>
          <w:szCs w:val="32"/>
        </w:rPr>
        <w:t>三、支出决算情况说明</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本年支出合计351.8万元，其中：基本支出280.3万元，占80%；项目支出71.5万元，占20%；上缴上级支出0万元，占0%；经营支出0万元，占0%；对附属单位补助支出0万元，占0%。</w:t>
      </w:r>
    </w:p>
    <w:p w:rsidR="00B15345" w:rsidRDefault="00FC51CB">
      <w:pPr>
        <w:pStyle w:val="Default"/>
        <w:rPr>
          <w:rFonts w:hAnsi="黑体"/>
          <w:b/>
          <w:sz w:val="32"/>
          <w:szCs w:val="32"/>
        </w:rPr>
      </w:pPr>
      <w:r>
        <w:rPr>
          <w:rFonts w:hAnsi="黑体" w:hint="eastAsia"/>
          <w:b/>
          <w:sz w:val="32"/>
          <w:szCs w:val="32"/>
        </w:rPr>
        <w:t>四、财政拨款收入支出决算总体情况说明</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2020年度财政拨款收入总计233.74万元。与上年相比，增加21.11万元，增长10%，主要是因为人员经费增加。</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2020年度财政拨款支出总计233.74万元。与上年相比，增加21.11万元，增长10%，主要是因为人员经费增加。</w:t>
      </w:r>
    </w:p>
    <w:p w:rsidR="00B15345" w:rsidRDefault="00FC51CB">
      <w:pPr>
        <w:pStyle w:val="Default"/>
        <w:rPr>
          <w:rFonts w:hAnsi="黑体"/>
          <w:b/>
          <w:sz w:val="32"/>
          <w:szCs w:val="32"/>
        </w:rPr>
      </w:pPr>
      <w:r>
        <w:rPr>
          <w:rFonts w:hAnsi="黑体" w:hint="eastAsia"/>
          <w:b/>
          <w:sz w:val="32"/>
          <w:szCs w:val="32"/>
        </w:rPr>
        <w:t>五、一般公共预算财政拨款支出决算情况说明</w:t>
      </w:r>
    </w:p>
    <w:p w:rsidR="00B15345" w:rsidRDefault="00FC51CB" w:rsidP="00162846">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2020年度财政拨款支出233.74万元，占本年支出合计的66.4%，与上年相比，财政拨款支出增加21.11万元，增长10%，主要是因为人员经费增加</w:t>
      </w:r>
    </w:p>
    <w:p w:rsidR="00B15345" w:rsidRDefault="00FC51CB" w:rsidP="00162846">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2020年度财政拨款支出233.74万元，主要用于以下方面：社会保障和就业（类）支出18.7万元，占8.03%；卫生健康（类）支出200.8万元，占85.94%;住房保障（类）支出14.6万元，占6.28%。</w:t>
      </w:r>
    </w:p>
    <w:p w:rsidR="00B15345" w:rsidRDefault="00B15345">
      <w:pPr>
        <w:pStyle w:val="Default"/>
        <w:ind w:firstLineChars="200" w:firstLine="640"/>
        <w:rPr>
          <w:rFonts w:asciiTheme="minorEastAsia" w:eastAsiaTheme="minorEastAsia" w:hAnsiTheme="minorEastAsia"/>
          <w:sz w:val="32"/>
          <w:szCs w:val="32"/>
        </w:rPr>
      </w:pPr>
    </w:p>
    <w:p w:rsidR="00B15345" w:rsidRDefault="00FC51CB" w:rsidP="00162846">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2020年度财政拨款支出年初预算数为233.74万元，支出决算数为233.74万元，完成年初预算的100%，其中：</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1、社会保障和就业支出（类）行政事业单位离退休（款）机关事业单位基本养老保险缴费支出（项）。</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年初预算为18.78万元，支出决算为18.78万元，完成年初预算的100%，决算数大于（小于）年初预算数的主要原因是：职工养老保险。</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2、卫生健康支出（类）卫生健康管理事务（款）一般行政管理事务（项）。</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年初预算为1.5万元，支出决算为1.5万元，完成年初预算的100%，决算数大于（小于）年初预算数的主要原因是：一般行政管理事务</w:t>
      </w:r>
    </w:p>
    <w:p w:rsidR="00B15345" w:rsidRDefault="00FC51CB">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卫生健康支出（类）公共卫生（款）卫生监督机构（项）。</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年初预算为190万元，支出决算为190万元，完成年初预算的100%，决算数大于（小于）年初预算数的主要原因是：机关行政开支</w:t>
      </w:r>
    </w:p>
    <w:p w:rsidR="00B15345" w:rsidRDefault="00FC51CB">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卫生健康支出（类）行政事业单位医疗（款）行政单位医疗（项）。</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年初预算为9.39万元，支出决算为9.39万元，完成年初预算的100%，决算数大于（小于）年初预算数的主要原因是：职工基本医疗。</w:t>
      </w:r>
    </w:p>
    <w:p w:rsidR="00B15345" w:rsidRDefault="00FC51CB">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住房保障支出（类）住房改革支出（款）住房公积金（项）。</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年初预算为14.09万元，支出决算为14.09万元，完成年初预算的100%，决算数大于（小于）年初预算数的主要原因是：职工住房公积金。</w:t>
      </w:r>
    </w:p>
    <w:p w:rsidR="00B15345" w:rsidRDefault="00FC51CB">
      <w:pPr>
        <w:pStyle w:val="Default"/>
        <w:rPr>
          <w:rFonts w:hAnsi="黑体"/>
          <w:b/>
          <w:sz w:val="32"/>
          <w:szCs w:val="32"/>
        </w:rPr>
      </w:pPr>
      <w:r>
        <w:rPr>
          <w:rFonts w:hAnsi="黑体" w:hint="eastAsia"/>
          <w:b/>
          <w:sz w:val="32"/>
          <w:szCs w:val="32"/>
        </w:rPr>
        <w:t>六、一般公共预算财政拨款基本支出决算情况说明</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年度财政拨款基本支出233.74万元，其中：人员经费209.88万元，占基本支出的89.8%,主要包括基本工资、津贴补贴、奖金、伙食补助费、机关事业单位基本养老保险费、职工基本医疗保险缴费、其他社会保障缴费、住房公积金、其他工资福利支出、离休费、抚恤金、生活补助、医疗费补助、奖励金、其他对个人和家庭的补助；公用经费22.35万元，占基本支出的9.6%，主要包括办公费、印刷费、咨询费、手续费、水费、电费、邮电费、差旅费、工会经费、福利费、其他商品和服务支出。</w:t>
      </w:r>
    </w:p>
    <w:p w:rsidR="00B15345" w:rsidRDefault="00FC51CB">
      <w:pPr>
        <w:pStyle w:val="Default"/>
        <w:rPr>
          <w:rFonts w:hAnsi="黑体"/>
          <w:b/>
          <w:sz w:val="32"/>
          <w:szCs w:val="32"/>
        </w:rPr>
      </w:pPr>
      <w:r>
        <w:rPr>
          <w:rFonts w:hAnsi="黑体" w:hint="eastAsia"/>
          <w:b/>
          <w:sz w:val="32"/>
          <w:szCs w:val="32"/>
        </w:rPr>
        <w:t>七、一般公共预算财政拨款三公经费支出决算情况说明</w:t>
      </w:r>
    </w:p>
    <w:p w:rsidR="00B15345" w:rsidRDefault="00FC51CB">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“三公”经费财政拨款支出预算为5万元，支出决算为1.8万元，完成预算的36%，其中：</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因公出国（境）费支出预算为0万元，支出决算为0万元，完成预算的100%。</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公务接待费支出预算为5万元，支出决算为1.8万元，完成预算的36%，决算数小于预算数的主要原因是缩减开支，与上年相比减少0.09万元，减少5%,减少的主要原因是正常公务接待人次减少。</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公务用车购置费及运行维护费支出预算为0万元，支出决算为0万元，完成预算的0%。</w:t>
      </w:r>
    </w:p>
    <w:p w:rsidR="00B15345" w:rsidRDefault="00FC51CB">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2020年度“三公”经费财政拨款支出决算中，公务接待费支出决算1.8万元，占100%,因公出国（境）费支出决算0万元，占0%,公务用车购置费及运行维护费支出决算0万元，占0%。其中：</w:t>
      </w:r>
    </w:p>
    <w:p w:rsidR="00B15345" w:rsidRDefault="00FC51CB">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1、因公出国（境）费支出决算为0万元，全年安排因公出国（境）团组0个，累计0人次。</w:t>
      </w:r>
    </w:p>
    <w:p w:rsidR="00B15345" w:rsidRDefault="00FC51C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2、公务接待费支出决算为1.8万元，全年共接待来访团组0个、来宾202人次，主要是各县级兄弟单位联合工作发生的接待支出。</w:t>
      </w:r>
    </w:p>
    <w:p w:rsidR="00B15345" w:rsidRDefault="00FC51C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3、公务用车购置费及运行维护费支出决算为0万元，其中：公务用车购置费0万元，</w:t>
      </w:r>
      <w:r>
        <w:rPr>
          <w:rFonts w:ascii="仿宋_GB2312" w:eastAsia="仿宋_GB2312" w:hint="eastAsia"/>
          <w:sz w:val="32"/>
          <w:szCs w:val="32"/>
        </w:rPr>
        <w:t>鹤城区卫生计生综合监督执法局</w:t>
      </w:r>
      <w:r>
        <w:rPr>
          <w:rFonts w:asciiTheme="minorEastAsia" w:hAnsiTheme="minorEastAsia" w:hint="eastAsia"/>
          <w:sz w:val="32"/>
          <w:szCs w:val="32"/>
        </w:rPr>
        <w:t>更新公务用车0辆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公务用车运行维护费0万元，截止2020年12月31日，我单位开支财政拨款的公务用车保有量为0辆。</w:t>
      </w:r>
    </w:p>
    <w:p w:rsidR="00B15345" w:rsidRDefault="00FC51CB">
      <w:pPr>
        <w:pStyle w:val="Default"/>
        <w:rPr>
          <w:rFonts w:hAnsi="黑体"/>
          <w:b/>
          <w:sz w:val="32"/>
          <w:szCs w:val="32"/>
        </w:rPr>
      </w:pPr>
      <w:r>
        <w:rPr>
          <w:rFonts w:hAnsi="黑体" w:hint="eastAsia"/>
          <w:b/>
          <w:sz w:val="32"/>
          <w:szCs w:val="32"/>
        </w:rPr>
        <w:t>八、政府性基金预算收入支出决算情况</w:t>
      </w:r>
    </w:p>
    <w:p w:rsidR="00B15345" w:rsidRDefault="00FC51CB">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本单位无政府性基金收支。</w:t>
      </w:r>
    </w:p>
    <w:p w:rsidR="00B15345" w:rsidRDefault="00FC51CB">
      <w:pPr>
        <w:pStyle w:val="Default"/>
        <w:rPr>
          <w:rFonts w:hAnsi="黑体"/>
          <w:b/>
          <w:sz w:val="32"/>
          <w:szCs w:val="32"/>
        </w:rPr>
      </w:pPr>
      <w:r>
        <w:rPr>
          <w:rFonts w:hAnsi="黑体" w:hint="eastAsia"/>
          <w:b/>
          <w:sz w:val="32"/>
          <w:szCs w:val="32"/>
        </w:rPr>
        <w:t>九、关于机关运行经费支出说明</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本部门2020年度机关运行经费支出22.35万元，比年初预算数减少40.85 万元，降低58.3%。主要原因是公用经费的减少。</w:t>
      </w:r>
    </w:p>
    <w:p w:rsidR="00B15345" w:rsidRDefault="00FC51CB">
      <w:pPr>
        <w:pStyle w:val="Default"/>
        <w:rPr>
          <w:rFonts w:hAnsi="黑体"/>
          <w:b/>
          <w:sz w:val="32"/>
          <w:szCs w:val="32"/>
        </w:rPr>
      </w:pPr>
      <w:r>
        <w:rPr>
          <w:rFonts w:hAnsi="黑体" w:hint="eastAsia"/>
          <w:b/>
          <w:sz w:val="32"/>
          <w:szCs w:val="32"/>
        </w:rPr>
        <w:t>十、一般性支出情况</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w:t>
      </w:r>
      <w:r>
        <w:rPr>
          <w:rFonts w:asciiTheme="minorEastAsia" w:hAnsiTheme="minorEastAsia" w:hint="eastAsia"/>
          <w:sz w:val="32"/>
          <w:szCs w:val="32"/>
        </w:rPr>
        <w:t>本部门开支会议费</w:t>
      </w:r>
      <w:r>
        <w:rPr>
          <w:rFonts w:asciiTheme="minorEastAsia" w:hAnsiTheme="minorEastAsia" w:hint="eastAsia"/>
          <w:sz w:val="32"/>
          <w:szCs w:val="32"/>
        </w:rPr>
        <w:t>0</w:t>
      </w:r>
      <w:r>
        <w:rPr>
          <w:rFonts w:asciiTheme="minorEastAsia" w:hAnsiTheme="minorEastAsia" w:hint="eastAsia"/>
          <w:sz w:val="32"/>
          <w:szCs w:val="32"/>
        </w:rPr>
        <w:t>万元；开支培训费</w:t>
      </w:r>
      <w:r>
        <w:rPr>
          <w:rFonts w:asciiTheme="minorEastAsia" w:hAnsiTheme="minorEastAsia" w:hint="eastAsia"/>
          <w:sz w:val="32"/>
          <w:szCs w:val="32"/>
        </w:rPr>
        <w:t>0</w:t>
      </w:r>
      <w:r>
        <w:rPr>
          <w:rFonts w:asciiTheme="minorEastAsia" w:hAnsiTheme="minorEastAsia" w:hint="eastAsia"/>
          <w:sz w:val="32"/>
          <w:szCs w:val="32"/>
        </w:rPr>
        <w:t>万元；举办节庆、晚会、论坛、赛事活动，开支</w:t>
      </w:r>
      <w:r>
        <w:rPr>
          <w:rFonts w:asciiTheme="minorEastAsia" w:hAnsiTheme="minorEastAsia" w:hint="eastAsia"/>
          <w:sz w:val="32"/>
          <w:szCs w:val="32"/>
        </w:rPr>
        <w:t>0</w:t>
      </w:r>
      <w:r>
        <w:rPr>
          <w:rFonts w:asciiTheme="minorEastAsia" w:hAnsiTheme="minorEastAsia" w:hint="eastAsia"/>
          <w:sz w:val="32"/>
          <w:szCs w:val="32"/>
        </w:rPr>
        <w:t>万元。</w:t>
      </w:r>
    </w:p>
    <w:p w:rsidR="00B15345" w:rsidRDefault="00FC51CB">
      <w:pPr>
        <w:pStyle w:val="Default"/>
        <w:rPr>
          <w:rFonts w:hAnsi="黑体"/>
          <w:b/>
          <w:sz w:val="32"/>
          <w:szCs w:val="32"/>
        </w:rPr>
      </w:pPr>
      <w:r>
        <w:rPr>
          <w:rFonts w:hAnsi="黑体" w:hint="eastAsia"/>
          <w:b/>
          <w:sz w:val="32"/>
          <w:szCs w:val="32"/>
        </w:rPr>
        <w:t>十一、关于政府采购支出说明</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本部门2020年度政府采购支出总额0万元，其中：政府采购货物支出0 万元、政府采购工程支出0万元、政府采购服务支出0万元。授予中小企业合同金额0万元，占政府采购支出总额的0%，其中：授予小微企业合同金额0万元，占政府采购支出总额的0%。</w:t>
      </w:r>
    </w:p>
    <w:p w:rsidR="00B15345" w:rsidRDefault="00FC51CB">
      <w:pPr>
        <w:pStyle w:val="Default"/>
        <w:rPr>
          <w:rFonts w:hAnsi="黑体"/>
          <w:b/>
          <w:sz w:val="32"/>
          <w:szCs w:val="32"/>
        </w:rPr>
      </w:pPr>
      <w:r>
        <w:rPr>
          <w:rFonts w:hAnsi="黑体" w:hint="eastAsia"/>
          <w:b/>
          <w:sz w:val="32"/>
          <w:szCs w:val="32"/>
        </w:rPr>
        <w:t>十二、关于国有资产占用情况说明</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2020年12月31日，本单位共有车辆0辆，其中，主要领导干部用车0辆，机要通信用车0辆、应急保障用车0辆、执法执勤用车0辆、特种专业技术用车0辆、其他用车0辆；单位价值50万元以上通用设备0台（套）；单位价值100万元以上专用设备0台（套）。</w:t>
      </w:r>
    </w:p>
    <w:p w:rsidR="00B15345" w:rsidRDefault="00FC51CB">
      <w:pPr>
        <w:pStyle w:val="Default"/>
        <w:rPr>
          <w:rFonts w:hAnsi="黑体"/>
          <w:b/>
          <w:sz w:val="32"/>
          <w:szCs w:val="32"/>
        </w:rPr>
      </w:pPr>
      <w:r>
        <w:rPr>
          <w:rFonts w:hAnsi="黑体" w:hint="eastAsia"/>
          <w:b/>
          <w:sz w:val="32"/>
          <w:szCs w:val="32"/>
        </w:rPr>
        <w:lastRenderedPageBreak/>
        <w:t>十三、关于2020年度预算绩效情况的说明</w:t>
      </w:r>
    </w:p>
    <w:p w:rsidR="00B15345" w:rsidRDefault="00FC51C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本部门预算绩效管理开展情况、绩效目标和绩效评价报告等按照财政绩效部门要求已公开</w:t>
      </w:r>
      <w:r w:rsidR="00162846">
        <w:rPr>
          <w:rFonts w:asciiTheme="minorEastAsia" w:eastAsiaTheme="minorEastAsia" w:hAnsiTheme="minorEastAsia" w:hint="eastAsia"/>
          <w:sz w:val="32"/>
          <w:szCs w:val="32"/>
        </w:rPr>
        <w:t>附后</w:t>
      </w:r>
    </w:p>
    <w:p w:rsidR="00B15345" w:rsidRDefault="00B15345">
      <w:pPr>
        <w:pStyle w:val="Default"/>
        <w:rPr>
          <w:rFonts w:hAnsi="黑体"/>
          <w:b/>
          <w:sz w:val="32"/>
          <w:szCs w:val="3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bookmarkStart w:id="0" w:name="_GoBack"/>
      <w:bookmarkEnd w:id="0"/>
    </w:p>
    <w:p w:rsidR="00B15345" w:rsidRDefault="00FC51CB">
      <w:pPr>
        <w:pStyle w:val="Default"/>
        <w:jc w:val="center"/>
        <w:rPr>
          <w:sz w:val="72"/>
          <w:szCs w:val="72"/>
        </w:rPr>
      </w:pPr>
      <w:r>
        <w:rPr>
          <w:rFonts w:hint="eastAsia"/>
          <w:sz w:val="72"/>
          <w:szCs w:val="72"/>
        </w:rPr>
        <w:t>第四部分</w:t>
      </w:r>
    </w:p>
    <w:p w:rsidR="00B15345" w:rsidRDefault="00B15345">
      <w:pPr>
        <w:jc w:val="center"/>
        <w:rPr>
          <w:rFonts w:ascii="黑体" w:eastAsia="黑体" w:cs="黑体"/>
          <w:color w:val="000000"/>
          <w:kern w:val="0"/>
          <w:sz w:val="70"/>
          <w:szCs w:val="70"/>
        </w:rPr>
      </w:pPr>
    </w:p>
    <w:p w:rsidR="00B15345" w:rsidRDefault="00FC51CB">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B15345" w:rsidRDefault="00FC51CB">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B15345" w:rsidRDefault="00B15345">
      <w:pPr>
        <w:ind w:firstLineChars="200" w:firstLine="640"/>
        <w:jc w:val="left"/>
        <w:rPr>
          <w:rFonts w:asciiTheme="minorEastAsia" w:hAnsiTheme="minorEastAsia" w:cs="黑体"/>
          <w:color w:val="000000"/>
          <w:kern w:val="0"/>
          <w:sz w:val="32"/>
          <w:szCs w:val="32"/>
        </w:rPr>
      </w:pPr>
    </w:p>
    <w:p w:rsidR="00B15345" w:rsidRDefault="00FC51CB">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B15345" w:rsidRDefault="00FC51CB">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B15345">
      <w:pPr>
        <w:pStyle w:val="Default"/>
        <w:jc w:val="center"/>
        <w:rPr>
          <w:sz w:val="72"/>
          <w:szCs w:val="72"/>
        </w:rPr>
      </w:pPr>
    </w:p>
    <w:p w:rsidR="00B15345" w:rsidRDefault="00FC51CB">
      <w:pPr>
        <w:pStyle w:val="Default"/>
        <w:jc w:val="center"/>
        <w:rPr>
          <w:sz w:val="72"/>
          <w:szCs w:val="72"/>
        </w:rPr>
      </w:pPr>
      <w:r>
        <w:rPr>
          <w:rFonts w:hint="eastAsia"/>
          <w:sz w:val="72"/>
          <w:szCs w:val="72"/>
        </w:rPr>
        <w:t>第五部分</w:t>
      </w:r>
    </w:p>
    <w:p w:rsidR="00B15345" w:rsidRDefault="00B15345">
      <w:pPr>
        <w:jc w:val="center"/>
        <w:rPr>
          <w:rFonts w:ascii="黑体" w:eastAsia="黑体" w:cs="黑体"/>
          <w:color w:val="000000"/>
          <w:kern w:val="0"/>
          <w:sz w:val="70"/>
          <w:szCs w:val="70"/>
        </w:rPr>
      </w:pPr>
    </w:p>
    <w:p w:rsidR="00B15345" w:rsidRDefault="00FC51CB">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B15345" w:rsidRDefault="00FC51CB">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B15345" w:rsidRDefault="00B15345">
      <w:pPr>
        <w:jc w:val="center"/>
        <w:rPr>
          <w:rFonts w:ascii="黑体" w:eastAsia="黑体" w:cs="黑体"/>
          <w:color w:val="000000"/>
          <w:kern w:val="0"/>
          <w:sz w:val="70"/>
          <w:szCs w:val="70"/>
        </w:rPr>
      </w:pPr>
    </w:p>
    <w:p w:rsidR="00B15345" w:rsidRDefault="00FC51CB" w:rsidP="00162846">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2020年度部门整体支出绩效评价报告</w:t>
      </w:r>
    </w:p>
    <w:p w:rsidR="00B15345" w:rsidRDefault="00FC51CB" w:rsidP="00162846">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B15345" w:rsidRDefault="00FC51CB">
      <w:pPr>
        <w:widowControl/>
        <w:spacing w:line="600" w:lineRule="exact"/>
        <w:ind w:firstLineChars="200" w:firstLine="640"/>
        <w:rPr>
          <w:rFonts w:ascii="仿宋_GB2312" w:eastAsia="仿宋_GB2312"/>
          <w:sz w:val="32"/>
          <w:szCs w:val="32"/>
        </w:rPr>
      </w:pPr>
      <w:r>
        <w:rPr>
          <w:rFonts w:asciiTheme="minorEastAsia" w:hAnsiTheme="minorEastAsia" w:cs="宋体" w:hint="eastAsia"/>
          <w:sz w:val="32"/>
          <w:szCs w:val="32"/>
        </w:rPr>
        <w:t>1.鹤城区卫生计生综合监督执法局属全额拨款事业单位，内设</w:t>
      </w:r>
      <w:r>
        <w:rPr>
          <w:rFonts w:asciiTheme="minorEastAsia" w:hAnsiTheme="minorEastAsia" w:cstheme="minorEastAsia" w:hint="eastAsia"/>
          <w:sz w:val="32"/>
          <w:szCs w:val="32"/>
        </w:rPr>
        <w:t>医疗执业科、公共场所科、学校科、计划生育执法科、稽查科、办公室六个科室。</w:t>
      </w:r>
    </w:p>
    <w:p w:rsidR="00B15345" w:rsidRDefault="00FC51CB">
      <w:pPr>
        <w:spacing w:line="560" w:lineRule="exact"/>
        <w:ind w:firstLineChars="200" w:firstLine="640"/>
        <w:rPr>
          <w:rFonts w:asciiTheme="minorEastAsia" w:hAnsiTheme="minorEastAsia" w:cstheme="minorEastAsia"/>
          <w:sz w:val="32"/>
          <w:szCs w:val="32"/>
        </w:rPr>
      </w:pPr>
      <w:r>
        <w:rPr>
          <w:rFonts w:asciiTheme="minorEastAsia" w:hAnsiTheme="minorEastAsia" w:cs="宋体" w:hint="eastAsia"/>
          <w:sz w:val="32"/>
          <w:szCs w:val="32"/>
        </w:rPr>
        <w:t>2、主要工作职责：</w:t>
      </w:r>
      <w:r>
        <w:rPr>
          <w:rFonts w:asciiTheme="minorEastAsia" w:hAnsiTheme="minorEastAsia" w:cstheme="minorEastAsia" w:hint="eastAsia"/>
          <w:sz w:val="32"/>
          <w:szCs w:val="32"/>
        </w:rPr>
        <w:t>为人民身体健康提供卫生监督保障。公共场所卫生监督管理、100张以内病床医疗机构执业资格、执业行为审查及发证后监督管理。</w:t>
      </w:r>
    </w:p>
    <w:p w:rsidR="00B15345" w:rsidRDefault="00FC51CB">
      <w:pPr>
        <w:spacing w:line="600" w:lineRule="exact"/>
        <w:ind w:firstLineChars="200" w:firstLine="640"/>
        <w:rPr>
          <w:rFonts w:asciiTheme="minorEastAsia" w:hAnsiTheme="minorEastAsia"/>
          <w:kern w:val="0"/>
          <w:sz w:val="32"/>
          <w:szCs w:val="32"/>
        </w:rPr>
      </w:pPr>
      <w:r>
        <w:rPr>
          <w:rFonts w:asciiTheme="minorEastAsia" w:hAnsiTheme="minorEastAsia" w:cs="宋体" w:hint="eastAsia"/>
          <w:sz w:val="32"/>
          <w:szCs w:val="32"/>
        </w:rPr>
        <w:t>3、编制人员情况:现实有在职人员21人（其中全额拨款21人，自收自支0人），离退休人员0人(其中财政拨款0人，自收自支0人），遗属人员0人。</w:t>
      </w:r>
    </w:p>
    <w:p w:rsidR="00B15345" w:rsidRDefault="00FC51CB">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B15345" w:rsidRDefault="00FC51CB">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1、收入说明：2020年总收入为351.8万元。</w:t>
      </w:r>
    </w:p>
    <w:p w:rsidR="00B15345" w:rsidRDefault="00FC51CB">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2、支出说明：2020年总支出为351.8万元，其中：人员经费支出232万元，日常公用经费48.29万元，项目支出为71.5万元。</w:t>
      </w:r>
    </w:p>
    <w:p w:rsidR="00B15345" w:rsidRDefault="00FC51CB">
      <w:pPr>
        <w:ind w:firstLineChars="200" w:firstLine="640"/>
        <w:jc w:val="left"/>
        <w:rPr>
          <w:rFonts w:asciiTheme="minorEastAsia" w:hAnsiTheme="minorEastAsia" w:cs="黑体"/>
          <w:color w:val="000000"/>
          <w:kern w:val="0"/>
          <w:sz w:val="32"/>
          <w:szCs w:val="32"/>
        </w:rPr>
      </w:pPr>
      <w:r>
        <w:rPr>
          <w:rFonts w:asciiTheme="minorEastAsia" w:hAnsiTheme="minorEastAsia" w:cs="宋体" w:hint="eastAsia"/>
          <w:sz w:val="32"/>
          <w:szCs w:val="32"/>
        </w:rPr>
        <w:t>3、“三公”经费说明：2020年度“三公”经费为1.8万元，根据各项规定，我单位按要求厉行节约，比年初预算比，完成预算的36%。</w:t>
      </w:r>
    </w:p>
    <w:p w:rsidR="00B15345" w:rsidRDefault="00B15345">
      <w:pPr>
        <w:ind w:firstLineChars="200" w:firstLine="640"/>
        <w:jc w:val="left"/>
        <w:rPr>
          <w:rFonts w:asciiTheme="minorEastAsia" w:hAnsiTheme="minorEastAsia" w:cs="黑体"/>
          <w:color w:val="000000"/>
          <w:kern w:val="0"/>
          <w:sz w:val="32"/>
          <w:szCs w:val="32"/>
        </w:rPr>
      </w:pPr>
    </w:p>
    <w:sectPr w:rsidR="00B15345" w:rsidSect="00B15345">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2521" w:rsidRDefault="00832521" w:rsidP="00162846">
      <w:r>
        <w:separator/>
      </w:r>
    </w:p>
  </w:endnote>
  <w:endnote w:type="continuationSeparator" w:id="1">
    <w:p w:rsidR="00832521" w:rsidRDefault="00832521" w:rsidP="001628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2521" w:rsidRDefault="00832521" w:rsidP="00162846">
      <w:r>
        <w:separator/>
      </w:r>
    </w:p>
  </w:footnote>
  <w:footnote w:type="continuationSeparator" w:id="1">
    <w:p w:rsidR="00832521" w:rsidRDefault="00832521" w:rsidP="001628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1BB5195"/>
    <w:multiLevelType w:val="singleLevel"/>
    <w:tmpl w:val="61BB5195"/>
    <w:lvl w:ilvl="0">
      <w:start w:val="3"/>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0579C"/>
    <w:rsid w:val="00125FFA"/>
    <w:rsid w:val="00152C6D"/>
    <w:rsid w:val="00162846"/>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32521"/>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15345"/>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B29B0"/>
    <w:rsid w:val="00DD06FF"/>
    <w:rsid w:val="00DD5FE9"/>
    <w:rsid w:val="00E00C7A"/>
    <w:rsid w:val="00E37D6C"/>
    <w:rsid w:val="00E55B68"/>
    <w:rsid w:val="00E67BE6"/>
    <w:rsid w:val="00E8683C"/>
    <w:rsid w:val="00EA2B72"/>
    <w:rsid w:val="00F74360"/>
    <w:rsid w:val="00FB462F"/>
    <w:rsid w:val="00FC51CB"/>
    <w:rsid w:val="00FE16FA"/>
    <w:rsid w:val="00FE328A"/>
    <w:rsid w:val="00FE6269"/>
    <w:rsid w:val="17956490"/>
    <w:rsid w:val="289975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34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15345"/>
    <w:rPr>
      <w:sz w:val="18"/>
      <w:szCs w:val="18"/>
    </w:rPr>
  </w:style>
  <w:style w:type="paragraph" w:styleId="a4">
    <w:name w:val="footer"/>
    <w:basedOn w:val="a"/>
    <w:link w:val="Char0"/>
    <w:uiPriority w:val="99"/>
    <w:unhideWhenUsed/>
    <w:rsid w:val="00B15345"/>
    <w:pPr>
      <w:tabs>
        <w:tab w:val="center" w:pos="4153"/>
        <w:tab w:val="right" w:pos="8306"/>
      </w:tabs>
      <w:snapToGrid w:val="0"/>
      <w:jc w:val="left"/>
    </w:pPr>
    <w:rPr>
      <w:sz w:val="18"/>
      <w:szCs w:val="18"/>
    </w:rPr>
  </w:style>
  <w:style w:type="paragraph" w:styleId="a5">
    <w:name w:val="header"/>
    <w:basedOn w:val="a"/>
    <w:link w:val="Char1"/>
    <w:uiPriority w:val="99"/>
    <w:unhideWhenUsed/>
    <w:rsid w:val="00B1534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B15345"/>
    <w:rPr>
      <w:sz w:val="18"/>
      <w:szCs w:val="18"/>
    </w:rPr>
  </w:style>
  <w:style w:type="character" w:customStyle="1" w:styleId="Char0">
    <w:name w:val="页脚 Char"/>
    <w:basedOn w:val="a0"/>
    <w:link w:val="a4"/>
    <w:uiPriority w:val="99"/>
    <w:qFormat/>
    <w:rsid w:val="00B15345"/>
    <w:rPr>
      <w:sz w:val="18"/>
      <w:szCs w:val="18"/>
    </w:rPr>
  </w:style>
  <w:style w:type="paragraph" w:customStyle="1" w:styleId="Default">
    <w:name w:val="Default"/>
    <w:rsid w:val="00B15345"/>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B15345"/>
    <w:pPr>
      <w:ind w:firstLineChars="200" w:firstLine="420"/>
    </w:pPr>
  </w:style>
  <w:style w:type="character" w:customStyle="1" w:styleId="Char">
    <w:name w:val="批注框文本 Char"/>
    <w:basedOn w:val="a0"/>
    <w:link w:val="a3"/>
    <w:uiPriority w:val="99"/>
    <w:semiHidden/>
    <w:rsid w:val="00B1534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642</Words>
  <Characters>3664</Characters>
  <Application>Microsoft Office Word</Application>
  <DocSecurity>0</DocSecurity>
  <Lines>30</Lines>
  <Paragraphs>8</Paragraphs>
  <ScaleCrop>false</ScaleCrop>
  <Company>Microsoft</Company>
  <LinksUpToDate>false</LinksUpToDate>
  <CharactersWithSpaces>4298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3</cp:revision>
  <cp:lastPrinted>2021-07-28T00:12:00Z</cp:lastPrinted>
  <dcterms:created xsi:type="dcterms:W3CDTF">2021-10-15T02:12:00Z</dcterms:created>
  <dcterms:modified xsi:type="dcterms:W3CDTF">2022-09-02T07:34:00Z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