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jc w:val="center"/>
        <w:rPr>
          <w:sz w:val="56"/>
          <w:szCs w:val="56"/>
        </w:rPr>
      </w:pPr>
    </w:p>
    <w:p>
      <w:pPr>
        <w:pStyle w:val="9"/>
        <w:jc w:val="center"/>
        <w:rPr>
          <w:sz w:val="56"/>
          <w:szCs w:val="56"/>
        </w:rPr>
      </w:pPr>
    </w:p>
    <w:p>
      <w:pPr>
        <w:pStyle w:val="9"/>
        <w:jc w:val="center"/>
        <w:rPr>
          <w:sz w:val="84"/>
          <w:szCs w:val="84"/>
        </w:rPr>
      </w:pPr>
    </w:p>
    <w:p>
      <w:pPr>
        <w:pStyle w:val="9"/>
        <w:jc w:val="center"/>
        <w:rPr>
          <w:sz w:val="84"/>
          <w:szCs w:val="84"/>
        </w:rPr>
      </w:pPr>
    </w:p>
    <w:p>
      <w:pPr>
        <w:pStyle w:val="9"/>
        <w:jc w:val="center"/>
        <w:rPr>
          <w:sz w:val="84"/>
          <w:szCs w:val="84"/>
        </w:rPr>
      </w:pPr>
      <w:r>
        <w:rPr>
          <w:rFonts w:hint="eastAsia"/>
          <w:sz w:val="84"/>
          <w:szCs w:val="84"/>
        </w:rPr>
        <w:t>2020年度</w:t>
      </w:r>
    </w:p>
    <w:p>
      <w:pPr>
        <w:pStyle w:val="9"/>
        <w:jc w:val="center"/>
        <w:rPr>
          <w:sz w:val="84"/>
          <w:szCs w:val="84"/>
        </w:rPr>
      </w:pPr>
      <w:r>
        <w:rPr>
          <w:rFonts w:hint="eastAsia"/>
          <w:sz w:val="84"/>
          <w:szCs w:val="84"/>
        </w:rPr>
        <w:t>怀化市跃进路小学部门决算</w:t>
      </w:r>
    </w:p>
    <w:p>
      <w:pPr>
        <w:pStyle w:val="9"/>
        <w:jc w:val="center"/>
        <w:rPr>
          <w:sz w:val="56"/>
          <w:szCs w:val="56"/>
        </w:rPr>
      </w:pPr>
    </w:p>
    <w:p>
      <w:pPr>
        <w:pStyle w:val="9"/>
        <w:jc w:val="center"/>
        <w:rPr>
          <w:sz w:val="56"/>
          <w:szCs w:val="56"/>
        </w:rPr>
      </w:pPr>
    </w:p>
    <w:p>
      <w:pPr>
        <w:pStyle w:val="9"/>
        <w:jc w:val="center"/>
        <w:rPr>
          <w:sz w:val="56"/>
          <w:szCs w:val="56"/>
        </w:rPr>
      </w:pPr>
    </w:p>
    <w:p>
      <w:pPr>
        <w:pStyle w:val="9"/>
        <w:jc w:val="center"/>
        <w:rPr>
          <w:sz w:val="56"/>
          <w:szCs w:val="56"/>
        </w:rPr>
      </w:pPr>
    </w:p>
    <w:p>
      <w:pPr>
        <w:pStyle w:val="9"/>
        <w:jc w:val="center"/>
        <w:rPr>
          <w:sz w:val="32"/>
          <w:szCs w:val="32"/>
        </w:rPr>
      </w:pPr>
    </w:p>
    <w:p>
      <w:pPr>
        <w:pStyle w:val="9"/>
        <w:jc w:val="center"/>
        <w:rPr>
          <w:sz w:val="32"/>
          <w:szCs w:val="32"/>
        </w:rPr>
      </w:pPr>
    </w:p>
    <w:p>
      <w:pPr>
        <w:pStyle w:val="9"/>
        <w:jc w:val="center"/>
        <w:rPr>
          <w:sz w:val="32"/>
          <w:szCs w:val="32"/>
        </w:rPr>
      </w:pPr>
    </w:p>
    <w:p>
      <w:pPr>
        <w:pStyle w:val="9"/>
        <w:spacing w:line="540" w:lineRule="exact"/>
        <w:jc w:val="center"/>
        <w:rPr>
          <w:sz w:val="56"/>
          <w:szCs w:val="56"/>
        </w:rPr>
      </w:pPr>
    </w:p>
    <w:p>
      <w:pPr>
        <w:pStyle w:val="9"/>
        <w:spacing w:line="500" w:lineRule="exact"/>
        <w:jc w:val="center"/>
        <w:rPr>
          <w:b/>
          <w:sz w:val="36"/>
          <w:szCs w:val="28"/>
        </w:rPr>
      </w:pPr>
    </w:p>
    <w:p>
      <w:pPr>
        <w:pStyle w:val="9"/>
        <w:spacing w:line="500" w:lineRule="exact"/>
        <w:jc w:val="center"/>
        <w:rPr>
          <w:b/>
          <w:sz w:val="36"/>
          <w:szCs w:val="28"/>
        </w:rPr>
      </w:pPr>
    </w:p>
    <w:p>
      <w:pPr>
        <w:pStyle w:val="9"/>
        <w:spacing w:line="500" w:lineRule="exact"/>
        <w:jc w:val="center"/>
        <w:rPr>
          <w:b/>
          <w:sz w:val="36"/>
          <w:szCs w:val="28"/>
        </w:rPr>
      </w:pPr>
    </w:p>
    <w:p>
      <w:pPr>
        <w:pStyle w:val="9"/>
        <w:spacing w:line="500" w:lineRule="exact"/>
        <w:jc w:val="center"/>
        <w:rPr>
          <w:b/>
          <w:sz w:val="36"/>
          <w:szCs w:val="28"/>
        </w:rPr>
      </w:pPr>
    </w:p>
    <w:p>
      <w:pPr>
        <w:pStyle w:val="9"/>
        <w:spacing w:line="500" w:lineRule="exact"/>
        <w:jc w:val="center"/>
        <w:rPr>
          <w:b/>
          <w:sz w:val="36"/>
          <w:szCs w:val="28"/>
        </w:rPr>
      </w:pPr>
      <w:r>
        <w:rPr>
          <w:rFonts w:hint="eastAsia"/>
          <w:b/>
          <w:sz w:val="36"/>
          <w:szCs w:val="28"/>
        </w:rPr>
        <w:t>目录</w:t>
      </w:r>
    </w:p>
    <w:p>
      <w:pPr>
        <w:pStyle w:val="9"/>
        <w:spacing w:line="500" w:lineRule="exact"/>
        <w:rPr>
          <w:rFonts w:ascii="仿宋_GB2312" w:hAnsi="仿宋_GB2312" w:cs="仿宋_GB2312"/>
          <w:b/>
          <w:sz w:val="28"/>
          <w:szCs w:val="28"/>
        </w:rPr>
      </w:pPr>
      <w:r>
        <w:rPr>
          <w:rFonts w:hint="eastAsia"/>
          <w:b/>
          <w:sz w:val="28"/>
          <w:szCs w:val="28"/>
        </w:rPr>
        <w:t>第一部分怀化市跃进路小学单位概况</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一、部门职责</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二、机构设置</w:t>
      </w:r>
    </w:p>
    <w:p>
      <w:pPr>
        <w:pStyle w:val="9"/>
        <w:spacing w:line="500" w:lineRule="exact"/>
        <w:rPr>
          <w:rFonts w:ascii="仿宋_GB2312" w:hAnsi="仿宋_GB2312" w:cs="仿宋_GB2312"/>
          <w:b/>
          <w:sz w:val="28"/>
          <w:szCs w:val="28"/>
        </w:rPr>
      </w:pPr>
      <w:r>
        <w:rPr>
          <w:rFonts w:hint="eastAsia" w:hAnsi="仿宋_GB2312"/>
          <w:b/>
          <w:sz w:val="28"/>
          <w:szCs w:val="28"/>
        </w:rPr>
        <w:t>第二部分</w:t>
      </w:r>
      <w:r>
        <w:rPr>
          <w:rFonts w:hAnsi="仿宋_GB2312"/>
          <w:b/>
          <w:sz w:val="28"/>
          <w:szCs w:val="28"/>
        </w:rPr>
        <w:t>20</w:t>
      </w:r>
      <w:r>
        <w:rPr>
          <w:rFonts w:hint="eastAsia" w:hAnsi="仿宋_GB2312"/>
          <w:b/>
          <w:sz w:val="28"/>
          <w:szCs w:val="28"/>
        </w:rPr>
        <w:t>20年度部门决算表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二、收入决算表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三、支出决算表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四、财政拨款收入支出决算总表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五、一般公共预算财政拨款支出决算表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六、一般公共预算财政拨款基本支出决算表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七、一般公共预算财政拨款“三公”经费支出决算表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八、政府性基金预算财政拨款收入支出决算表</w:t>
      </w:r>
    </w:p>
    <w:p>
      <w:pPr>
        <w:pStyle w:val="9"/>
        <w:spacing w:line="500" w:lineRule="exact"/>
        <w:ind w:firstLine="700" w:firstLineChars="25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九、国有资本经营预算财政拨款支出决算表</w:t>
      </w:r>
    </w:p>
    <w:p>
      <w:pPr>
        <w:pStyle w:val="9"/>
        <w:spacing w:line="500" w:lineRule="exact"/>
        <w:rPr>
          <w:rFonts w:ascii="仿宋_GB2312" w:hAnsi="仿宋_GB2312" w:cs="仿宋_GB2312"/>
          <w:b/>
          <w:sz w:val="28"/>
          <w:szCs w:val="28"/>
        </w:rPr>
      </w:pPr>
      <w:r>
        <w:rPr>
          <w:rFonts w:hint="eastAsia" w:hAnsi="仿宋_GB2312"/>
          <w:b/>
          <w:sz w:val="28"/>
          <w:szCs w:val="28"/>
        </w:rPr>
        <w:t>第三部分</w:t>
      </w:r>
      <w:r>
        <w:rPr>
          <w:rFonts w:hAnsi="仿宋_GB2312"/>
          <w:b/>
          <w:sz w:val="28"/>
          <w:szCs w:val="28"/>
        </w:rPr>
        <w:t>20</w:t>
      </w:r>
      <w:r>
        <w:rPr>
          <w:rFonts w:hint="eastAsia" w:hAnsi="仿宋_GB2312"/>
          <w:b/>
          <w:sz w:val="28"/>
          <w:szCs w:val="28"/>
        </w:rPr>
        <w:t>20年度部门决算情况说明</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一、收入支出决算总体情况说明</w:t>
      </w:r>
    </w:p>
    <w:p>
      <w:pPr>
        <w:spacing w:line="500" w:lineRule="exact"/>
        <w:ind w:firstLine="700" w:firstLineChars="250"/>
        <w:jc w:val="left"/>
        <w:rPr>
          <w:rFonts w:ascii="仿宋_GB2312" w:hAnsi="仿宋_GB2312" w:cs="仿宋_GB2312"/>
          <w:sz w:val="28"/>
          <w:szCs w:val="28"/>
        </w:rPr>
      </w:pPr>
      <w:r>
        <w:rPr>
          <w:rFonts w:ascii="仿宋_GB2312" w:hAnsi="仿宋_GB2312" w:cs="仿宋_GB2312"/>
          <w:sz w:val="28"/>
          <w:szCs w:val="28"/>
        </w:rPr>
        <w:t>二、收入决算情况说明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七、一般公共预算财政拨款三公经费支出决算情况说明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八</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政府性基金预算收入支出决算情况</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九</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关于机关运行经费支出说明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十、一般性支出情况</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十一、关于政府采购支出说明</w:t>
      </w:r>
    </w:p>
    <w:p>
      <w:pPr>
        <w:pStyle w:val="9"/>
        <w:spacing w:line="50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十二、关于国有资产占用情况说明</w:t>
      </w:r>
    </w:p>
    <w:p>
      <w:pPr>
        <w:pStyle w:val="9"/>
        <w:spacing w:line="50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十三、关</w:t>
      </w:r>
      <w:r>
        <w:rPr>
          <w:rFonts w:hint="eastAsia" w:cs="仿宋_GB2312" w:asciiTheme="minorEastAsia" w:hAnsiTheme="minorEastAsia" w:eastAsiaTheme="minorEastAsia"/>
          <w:sz w:val="28"/>
          <w:szCs w:val="28"/>
        </w:rPr>
        <w:t>于2020年</w:t>
      </w:r>
      <w:r>
        <w:rPr>
          <w:rFonts w:hint="eastAsia" w:ascii="仿宋_GB2312" w:hAnsi="仿宋_GB2312" w:cs="仿宋_GB2312" w:eastAsiaTheme="minorEastAsia"/>
          <w:sz w:val="28"/>
          <w:szCs w:val="28"/>
        </w:rPr>
        <w:t>度预算绩效情况的说明</w:t>
      </w:r>
    </w:p>
    <w:p>
      <w:pPr>
        <w:autoSpaceDE w:val="0"/>
        <w:autoSpaceDN w:val="0"/>
        <w:adjustRightInd w:val="0"/>
        <w:spacing w:line="500" w:lineRule="exact"/>
        <w:jc w:val="left"/>
        <w:rPr>
          <w:rFonts w:ascii="黑体" w:hAnsi="黑体" w:eastAsia="黑体" w:cs="黑体"/>
          <w:b/>
          <w:color w:val="000000"/>
          <w:kern w:val="0"/>
          <w:sz w:val="28"/>
          <w:szCs w:val="28"/>
        </w:rPr>
      </w:pPr>
      <w:r>
        <w:rPr>
          <w:rFonts w:ascii="黑体" w:hAnsi="黑体" w:eastAsia="黑体" w:cs="黑体"/>
          <w:b/>
          <w:color w:val="000000"/>
          <w:kern w:val="0"/>
          <w:sz w:val="28"/>
          <w:szCs w:val="28"/>
        </w:rPr>
        <w:t>第四部分名词解释</w:t>
      </w:r>
    </w:p>
    <w:p>
      <w:pPr>
        <w:autoSpaceDE w:val="0"/>
        <w:autoSpaceDN w:val="0"/>
        <w:adjustRightInd w:val="0"/>
        <w:spacing w:line="500" w:lineRule="exact"/>
        <w:jc w:val="left"/>
        <w:rPr>
          <w:rFonts w:ascii="黑体" w:hAnsi="黑体" w:eastAsia="黑体" w:cs="仿宋_GB2312"/>
          <w:b/>
          <w:color w:val="000000"/>
          <w:kern w:val="0"/>
          <w:sz w:val="28"/>
          <w:szCs w:val="28"/>
        </w:rPr>
      </w:pPr>
      <w:r>
        <w:rPr>
          <w:rFonts w:hint="eastAsia" w:ascii="黑体" w:hAnsi="黑体" w:eastAsia="黑体" w:cs="黑体"/>
          <w:b/>
          <w:color w:val="000000"/>
          <w:kern w:val="0"/>
          <w:sz w:val="28"/>
          <w:szCs w:val="28"/>
        </w:rPr>
        <w:t>第五部分附件</w:t>
      </w:r>
    </w:p>
    <w:p>
      <w:pPr>
        <w:jc w:val="center"/>
        <w:rPr>
          <w:sz w:val="72"/>
          <w:szCs w:val="72"/>
        </w:rPr>
      </w:pPr>
    </w:p>
    <w:p>
      <w:pPr>
        <w:jc w:val="center"/>
        <w:rPr>
          <w:sz w:val="72"/>
          <w:szCs w:val="72"/>
        </w:rPr>
      </w:pPr>
    </w:p>
    <w:p>
      <w:pPr>
        <w:jc w:val="center"/>
        <w:rPr>
          <w:sz w:val="72"/>
          <w:szCs w:val="72"/>
        </w:rPr>
      </w:pPr>
    </w:p>
    <w:p>
      <w:pPr>
        <w:jc w:val="center"/>
        <w:rPr>
          <w:sz w:val="72"/>
          <w:szCs w:val="72"/>
        </w:rPr>
      </w:pPr>
    </w:p>
    <w:p>
      <w:pPr>
        <w:rPr>
          <w:sz w:val="72"/>
          <w:szCs w:val="72"/>
        </w:rPr>
      </w:pPr>
    </w:p>
    <w:p>
      <w:pPr>
        <w:pStyle w:val="9"/>
        <w:jc w:val="center"/>
        <w:rPr>
          <w:sz w:val="84"/>
          <w:szCs w:val="84"/>
        </w:rPr>
      </w:pPr>
      <w:r>
        <w:rPr>
          <w:rFonts w:hint="eastAsia"/>
          <w:sz w:val="84"/>
          <w:szCs w:val="84"/>
        </w:rPr>
        <w:t>第一部分</w:t>
      </w:r>
    </w:p>
    <w:p>
      <w:pPr>
        <w:pStyle w:val="9"/>
        <w:jc w:val="center"/>
        <w:rPr>
          <w:sz w:val="84"/>
          <w:szCs w:val="84"/>
        </w:rPr>
      </w:pPr>
    </w:p>
    <w:p>
      <w:pPr>
        <w:pStyle w:val="9"/>
        <w:jc w:val="center"/>
        <w:rPr>
          <w:sz w:val="84"/>
          <w:szCs w:val="84"/>
        </w:rPr>
      </w:pPr>
      <w:r>
        <w:rPr>
          <w:rFonts w:hint="eastAsia"/>
          <w:sz w:val="84"/>
          <w:szCs w:val="84"/>
        </w:rPr>
        <w:t>怀化市跃进路小学单位概况</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pStyle w:val="10"/>
        <w:ind w:left="720" w:firstLine="0" w:firstLineChars="0"/>
        <w:jc w:val="left"/>
        <w:rPr>
          <w:rFonts w:ascii="黑体" w:hAnsi="黑体" w:eastAsia="黑体"/>
          <w:sz w:val="32"/>
          <w:szCs w:val="32"/>
        </w:rPr>
      </w:pPr>
    </w:p>
    <w:p>
      <w:pPr>
        <w:pStyle w:val="10"/>
        <w:ind w:left="720" w:firstLine="0" w:firstLineChars="0"/>
        <w:jc w:val="left"/>
        <w:rPr>
          <w:rFonts w:ascii="黑体" w:hAnsi="黑体" w:eastAsia="黑体"/>
          <w:sz w:val="32"/>
          <w:szCs w:val="32"/>
        </w:rPr>
      </w:pPr>
    </w:p>
    <w:p>
      <w:pPr>
        <w:pStyle w:val="10"/>
        <w:ind w:left="720" w:firstLine="0" w:firstLineChars="0"/>
        <w:jc w:val="left"/>
        <w:rPr>
          <w:rFonts w:ascii="黑体" w:hAnsi="黑体" w:eastAsia="黑体"/>
          <w:sz w:val="32"/>
          <w:szCs w:val="32"/>
        </w:rPr>
      </w:pPr>
    </w:p>
    <w:p>
      <w:pPr>
        <w:pStyle w:val="10"/>
        <w:numPr>
          <w:ilvl w:val="0"/>
          <w:numId w:val="1"/>
        </w:numPr>
        <w:ind w:firstLineChars="0"/>
        <w:jc w:val="left"/>
        <w:rPr>
          <w:rFonts w:ascii="黑体" w:hAnsi="黑体" w:eastAsia="黑体"/>
          <w:sz w:val="32"/>
          <w:szCs w:val="32"/>
        </w:rPr>
      </w:pPr>
      <w:r>
        <w:rPr>
          <w:rFonts w:ascii="黑体" w:hAnsi="黑体" w:eastAsia="黑体"/>
          <w:sz w:val="32"/>
          <w:szCs w:val="32"/>
        </w:rPr>
        <w:t>部门职责</w:t>
      </w:r>
    </w:p>
    <w:p>
      <w:pPr>
        <w:ind w:firstLine="800" w:firstLineChars="250"/>
        <w:jc w:val="left"/>
        <w:rPr>
          <w:rFonts w:asciiTheme="minorEastAsia" w:hAnsiTheme="minorEastAsia"/>
          <w:sz w:val="32"/>
          <w:szCs w:val="32"/>
        </w:rPr>
      </w:pPr>
      <w:r>
        <w:rPr>
          <w:rFonts w:hint="eastAsia" w:asciiTheme="minorEastAsia" w:hAnsiTheme="minorEastAsia"/>
          <w:bCs/>
          <w:kern w:val="0"/>
          <w:sz w:val="32"/>
          <w:szCs w:val="32"/>
        </w:rPr>
        <w:t>（一）</w:t>
      </w:r>
      <w:r>
        <w:rPr>
          <w:rFonts w:hint="eastAsia" w:cs="仿宋" w:asciiTheme="minorEastAsia" w:hAnsiTheme="minorEastAsia"/>
          <w:sz w:val="30"/>
          <w:szCs w:val="30"/>
        </w:rPr>
        <w:t>怀化市跃进路小学是全额拨款的事业单位。</w:t>
      </w:r>
    </w:p>
    <w:p>
      <w:pPr>
        <w:spacing w:line="600" w:lineRule="exact"/>
        <w:ind w:firstLine="800" w:firstLineChars="250"/>
        <w:rPr>
          <w:rFonts w:asciiTheme="minorEastAsia" w:hAnsiTheme="minorEastAsia"/>
          <w:kern w:val="0"/>
          <w:sz w:val="32"/>
          <w:szCs w:val="32"/>
        </w:rPr>
      </w:pPr>
      <w:r>
        <w:rPr>
          <w:rFonts w:hint="eastAsia" w:asciiTheme="minorEastAsia" w:hAnsiTheme="minorEastAsia"/>
          <w:sz w:val="32"/>
          <w:szCs w:val="32"/>
        </w:rPr>
        <w:t>（二）</w:t>
      </w:r>
      <w:r>
        <w:rPr>
          <w:rFonts w:hint="eastAsia" w:cs="仿宋" w:asciiTheme="minorEastAsia" w:hAnsiTheme="minorEastAsia"/>
          <w:sz w:val="32"/>
          <w:szCs w:val="32"/>
        </w:rPr>
        <w:t>主要工作职责：全面贯彻党的教育方针，落实九年义务教育小学阶段各项政策，保障学生受教育的各项权利，维护教师职工各项权益。</w:t>
      </w:r>
    </w:p>
    <w:p>
      <w:pPr>
        <w:widowControl/>
        <w:spacing w:line="600" w:lineRule="exact"/>
        <w:rPr>
          <w:rFonts w:ascii="黑体" w:hAnsi="黑体" w:eastAsia="黑体"/>
          <w:bCs/>
          <w:kern w:val="0"/>
          <w:sz w:val="32"/>
          <w:szCs w:val="32"/>
        </w:rPr>
      </w:pPr>
      <w:r>
        <w:rPr>
          <w:rFonts w:hint="eastAsia" w:ascii="黑体" w:hAnsi="黑体" w:eastAsia="黑体"/>
          <w:bCs/>
          <w:kern w:val="0"/>
          <w:sz w:val="32"/>
          <w:szCs w:val="32"/>
        </w:rPr>
        <w:t>二、机构设置及决算单位构成</w:t>
      </w:r>
    </w:p>
    <w:p>
      <w:pPr>
        <w:spacing w:line="600" w:lineRule="exact"/>
        <w:ind w:firstLine="640" w:firstLineChars="200"/>
        <w:rPr>
          <w:rFonts w:asciiTheme="minorEastAsia" w:hAnsiTheme="minorEastAsia"/>
          <w:b/>
          <w:bCs/>
          <w:kern w:val="0"/>
          <w:sz w:val="32"/>
          <w:szCs w:val="32"/>
        </w:rPr>
      </w:pPr>
      <w:r>
        <w:rPr>
          <w:rFonts w:hint="eastAsia" w:asciiTheme="minorEastAsia" w:hAnsiTheme="minorEastAsia"/>
          <w:bCs/>
          <w:kern w:val="0"/>
          <w:sz w:val="32"/>
          <w:szCs w:val="32"/>
        </w:rPr>
        <w:t>（一）内设机构设置。</w:t>
      </w:r>
      <w:r>
        <w:rPr>
          <w:rFonts w:hint="eastAsia" w:ascii="Times New Roman" w:hAnsi="Times New Roman" w:eastAsia="仿宋_GB2312" w:cs="Times New Roman"/>
          <w:bCs/>
          <w:kern w:val="0"/>
          <w:sz w:val="32"/>
          <w:szCs w:val="32"/>
        </w:rPr>
        <w:t>6</w:t>
      </w:r>
      <w:r>
        <w:rPr>
          <w:rFonts w:hint="eastAsia" w:cs="仿宋" w:asciiTheme="minorEastAsia" w:hAnsiTheme="minorEastAsia"/>
          <w:sz w:val="32"/>
          <w:szCs w:val="32"/>
        </w:rPr>
        <w:t>个职能处室：学校校长室、总务处、办公室、教务处、德育处、教研室。</w:t>
      </w:r>
    </w:p>
    <w:p>
      <w:pPr>
        <w:widowControl/>
        <w:spacing w:line="600" w:lineRule="exact"/>
        <w:ind w:firstLine="640" w:firstLineChars="200"/>
        <w:rPr>
          <w:rFonts w:ascii="Times New Roman" w:hAnsi="Times New Roman" w:eastAsia="仿宋_GB2312" w:cs="Times New Roman"/>
          <w:bCs/>
          <w:kern w:val="0"/>
          <w:sz w:val="32"/>
          <w:szCs w:val="32"/>
        </w:rPr>
      </w:pPr>
      <w:r>
        <w:rPr>
          <w:rFonts w:hint="eastAsia" w:asciiTheme="minorEastAsia" w:hAnsiTheme="minorEastAsia"/>
          <w:bCs/>
          <w:kern w:val="0"/>
          <w:sz w:val="32"/>
          <w:szCs w:val="32"/>
        </w:rPr>
        <w:t>（二）决算单位构成：怀化市跃进路小学本级</w:t>
      </w:r>
      <w:r>
        <w:rPr>
          <w:rFonts w:hint="eastAsia" w:ascii="Times New Roman" w:hAnsi="Times New Roman" w:eastAsia="仿宋_GB2312" w:cs="Times New Roman"/>
          <w:bCs/>
          <w:kern w:val="0"/>
          <w:sz w:val="32"/>
          <w:szCs w:val="32"/>
        </w:rPr>
        <w:t>。</w:t>
      </w:r>
    </w:p>
    <w:p>
      <w:pPr>
        <w:jc w:val="left"/>
        <w:rPr>
          <w:rFonts w:ascii="仿宋_GB2312" w:eastAsia="仿宋_GB2312" w:hAnsiTheme="minorEastAsia"/>
          <w:sz w:val="28"/>
          <w:szCs w:val="32"/>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r>
        <w:rPr>
          <w:rFonts w:hint="eastAsia"/>
          <w:sz w:val="72"/>
          <w:szCs w:val="72"/>
        </w:rPr>
        <w:t>第二部分</w:t>
      </w:r>
    </w:p>
    <w:p>
      <w:pPr>
        <w:jc w:val="center"/>
        <w:rPr>
          <w:sz w:val="72"/>
          <w:szCs w:val="72"/>
        </w:rPr>
      </w:pPr>
    </w:p>
    <w:p>
      <w:pPr>
        <w:jc w:val="center"/>
        <w:rPr>
          <w:rFonts w:hint="eastAsia" w:eastAsiaTheme="minorEastAsia"/>
          <w:sz w:val="72"/>
          <w:szCs w:val="72"/>
          <w:lang w:eastAsia="zh-CN"/>
        </w:rPr>
      </w:pPr>
      <w:r>
        <w:rPr>
          <w:rFonts w:hint="eastAsia"/>
          <w:sz w:val="72"/>
          <w:szCs w:val="72"/>
        </w:rPr>
        <w:t>部门决算表</w:t>
      </w:r>
    </w:p>
    <w:p>
      <w:pPr>
        <w:jc w:val="center"/>
        <w:rPr>
          <w:sz w:val="72"/>
          <w:szCs w:val="72"/>
        </w:rPr>
      </w:pPr>
      <w:r>
        <w:rPr>
          <w:rFonts w:hint="eastAsia"/>
          <w:sz w:val="72"/>
          <w:szCs w:val="72"/>
        </w:rPr>
        <w:t>（表格见附件）</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left"/>
        <w:rPr>
          <w:sz w:val="32"/>
          <w:szCs w:val="32"/>
        </w:rPr>
      </w:pPr>
    </w:p>
    <w:p>
      <w:pPr>
        <w:jc w:val="left"/>
        <w:rPr>
          <w:rFonts w:asciiTheme="minorEastAsia" w:hAnsiTheme="minorEastAsia"/>
          <w:sz w:val="32"/>
          <w:szCs w:val="32"/>
        </w:rPr>
        <w:sectPr>
          <w:pgSz w:w="11906" w:h="16838"/>
          <w:pgMar w:top="720" w:right="720" w:bottom="720" w:left="720" w:header="851" w:footer="992" w:gutter="0"/>
          <w:cols w:space="425" w:num="1"/>
          <w:docGrid w:type="lines" w:linePitch="312" w:charSpace="0"/>
        </w:sectPr>
      </w:pPr>
    </w:p>
    <w:p>
      <w:pPr>
        <w:pStyle w:val="9"/>
        <w:rPr>
          <w:sz w:val="72"/>
          <w:szCs w:val="72"/>
        </w:rPr>
      </w:pPr>
    </w:p>
    <w:p>
      <w:pPr>
        <w:pStyle w:val="9"/>
        <w:rPr>
          <w:sz w:val="72"/>
          <w:szCs w:val="72"/>
        </w:rPr>
      </w:pPr>
    </w:p>
    <w:p>
      <w:pPr>
        <w:pStyle w:val="9"/>
        <w:rPr>
          <w:sz w:val="72"/>
          <w:szCs w:val="72"/>
        </w:rPr>
      </w:pPr>
    </w:p>
    <w:p>
      <w:pPr>
        <w:pStyle w:val="9"/>
        <w:rPr>
          <w:sz w:val="72"/>
          <w:szCs w:val="72"/>
        </w:rPr>
      </w:pPr>
    </w:p>
    <w:p>
      <w:pPr>
        <w:pStyle w:val="9"/>
        <w:jc w:val="center"/>
        <w:rPr>
          <w:sz w:val="72"/>
          <w:szCs w:val="72"/>
        </w:rPr>
      </w:pPr>
    </w:p>
    <w:p>
      <w:pPr>
        <w:pStyle w:val="9"/>
        <w:jc w:val="center"/>
        <w:rPr>
          <w:sz w:val="72"/>
          <w:szCs w:val="72"/>
        </w:rPr>
      </w:pPr>
    </w:p>
    <w:p>
      <w:pPr>
        <w:pStyle w:val="9"/>
        <w:jc w:val="center"/>
        <w:rPr>
          <w:sz w:val="72"/>
          <w:szCs w:val="72"/>
        </w:rPr>
      </w:pPr>
      <w:r>
        <w:rPr>
          <w:rFonts w:hint="eastAsia"/>
          <w:sz w:val="72"/>
          <w:szCs w:val="72"/>
        </w:rPr>
        <w:t>第三部分</w:t>
      </w:r>
    </w:p>
    <w:p>
      <w:pPr>
        <w:pStyle w:val="9"/>
        <w:jc w:val="center"/>
        <w:rPr>
          <w:sz w:val="70"/>
          <w:szCs w:val="70"/>
        </w:rPr>
      </w:pPr>
    </w:p>
    <w:p>
      <w:pPr>
        <w:pStyle w:val="9"/>
        <w:jc w:val="center"/>
        <w:rPr>
          <w:sz w:val="70"/>
          <w:szCs w:val="70"/>
        </w:rPr>
      </w:pPr>
      <w:r>
        <w:rPr>
          <w:sz w:val="70"/>
          <w:szCs w:val="70"/>
        </w:rPr>
        <w:t>20</w:t>
      </w:r>
      <w:r>
        <w:rPr>
          <w:rFonts w:hint="eastAsia"/>
          <w:sz w:val="70"/>
          <w:szCs w:val="70"/>
        </w:rPr>
        <w:t>20年度部门决算情况说明</w:t>
      </w:r>
    </w:p>
    <w:p>
      <w:pPr>
        <w:widowControl/>
        <w:jc w:val="left"/>
        <w:rPr>
          <w:rFonts w:ascii="黑体" w:eastAsia="黑体" w:cs="黑体"/>
          <w:color w:val="000000"/>
          <w:kern w:val="0"/>
          <w:sz w:val="70"/>
          <w:szCs w:val="70"/>
        </w:rPr>
      </w:pPr>
      <w:r>
        <w:rPr>
          <w:sz w:val="70"/>
          <w:szCs w:val="70"/>
        </w:rPr>
        <w:br w:type="page"/>
      </w:r>
    </w:p>
    <w:p>
      <w:pPr>
        <w:pStyle w:val="9"/>
        <w:rPr>
          <w:rFonts w:asciiTheme="minorEastAsia" w:hAnsiTheme="minorEastAsia" w:eastAsiaTheme="minorEastAsia"/>
          <w:sz w:val="32"/>
          <w:szCs w:val="32"/>
        </w:rPr>
      </w:pPr>
    </w:p>
    <w:p>
      <w:pPr>
        <w:pStyle w:val="9"/>
        <w:rPr>
          <w:rFonts w:hAnsi="黑体"/>
          <w:b/>
          <w:sz w:val="32"/>
          <w:szCs w:val="32"/>
        </w:rPr>
      </w:pPr>
      <w:r>
        <w:rPr>
          <w:rFonts w:hint="eastAsia" w:hAnsi="黑体"/>
          <w:b/>
          <w:sz w:val="32"/>
          <w:szCs w:val="32"/>
        </w:rPr>
        <w:t>一、收入支出决算总体情况说明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收入合计3173.27万元。与上年相比，增加1309.38万元，增长170.25%，主要是因为新增综合教学楼建设项目收入，学生与教师公用经费标准增加，教师工资上涨，以及相应的医疗保险、养老保险、失业保险、工伤保险、生育保险的缴费基数增加。</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支出合计3173.27万元。与上年相比，增加1309.38万元，增长170.25%，主要是因为新增综合教学楼建设项目支出，学生与教师公用经费标准增加，教师工资上涨，以及相应的医疗保险、养老保险、失业保险、工伤保险、生育保险的缴费基数增加。</w:t>
      </w:r>
    </w:p>
    <w:p>
      <w:pPr>
        <w:pStyle w:val="9"/>
        <w:ind w:firstLine="640" w:firstLineChars="200"/>
        <w:rPr>
          <w:rFonts w:hAnsi="黑体"/>
          <w:b/>
          <w:sz w:val="32"/>
          <w:szCs w:val="32"/>
        </w:rPr>
      </w:pPr>
      <w:r>
        <w:rPr>
          <w:rFonts w:hint="eastAsia" w:hAnsi="黑体"/>
          <w:b/>
          <w:sz w:val="32"/>
          <w:szCs w:val="32"/>
        </w:rPr>
        <w:t>二、收入决算情况说明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本年收入合计3173.27万元，其中：财政拨款收入2566.05万元，占80.86%；上级补助收入0万元，占0%；事业收入0万元，占0%；经营收入0万元，占0%；附属单位上缴收入0万元，占0%；其他收入607.22万元，占19.14%。</w:t>
      </w:r>
    </w:p>
    <w:p>
      <w:pPr>
        <w:pStyle w:val="9"/>
        <w:rPr>
          <w:rFonts w:hAnsi="黑体"/>
          <w:b/>
          <w:sz w:val="32"/>
          <w:szCs w:val="32"/>
        </w:rPr>
      </w:pPr>
      <w:r>
        <w:rPr>
          <w:rFonts w:hint="eastAsia" w:hAnsi="黑体"/>
          <w:b/>
          <w:sz w:val="32"/>
          <w:szCs w:val="32"/>
        </w:rPr>
        <w:t>三、支出决算情况说明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本年支出合计3166.57万元，其中：基本支出2417.62万元，占76.35%；项目支出748.95万元，占23.65%；上缴上级支出0万元，占0%；经营支出0万元，占0%；对附属单位补助支出0万元，占0%。</w:t>
      </w:r>
    </w:p>
    <w:p>
      <w:pPr>
        <w:pStyle w:val="9"/>
        <w:rPr>
          <w:rFonts w:hAnsi="黑体"/>
          <w:b/>
          <w:sz w:val="32"/>
          <w:szCs w:val="32"/>
        </w:rPr>
      </w:pPr>
      <w:r>
        <w:rPr>
          <w:rFonts w:hint="eastAsia" w:hAnsi="黑体"/>
          <w:b/>
          <w:sz w:val="32"/>
          <w:szCs w:val="32"/>
        </w:rPr>
        <w:t>四、财政拨款收入支出决算总体情况说明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收入总计2678.73万元。与上年相比，增加1283.86万元，增长192.04%，主要是因为新增综合教学楼建设项目支出，学生与教师公用经费标准增加，教师工资上涨，以及相应的医疗保险、养老保险、失业保险、工伤保险、生育保险的缴费基数增加。</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支出总计2678.73万元。与上年相比，增加1283.86万元，增长192.04%，主要是因为新增综合教学楼建设项目支出，学生与教师公用经费标准增加，教师工资上涨，以及相应的医疗保险、养老保险、失业保险、工伤保险、生育保险的缴费基数增加。</w:t>
      </w:r>
    </w:p>
    <w:p>
      <w:pPr>
        <w:pStyle w:val="9"/>
        <w:ind w:firstLine="640" w:firstLineChars="200"/>
        <w:rPr>
          <w:rFonts w:hAnsi="黑体"/>
          <w:b/>
          <w:sz w:val="32"/>
          <w:szCs w:val="32"/>
        </w:rPr>
      </w:pPr>
      <w:r>
        <w:rPr>
          <w:rFonts w:hint="eastAsia" w:hAnsi="黑体"/>
          <w:b/>
          <w:sz w:val="32"/>
          <w:szCs w:val="32"/>
        </w:rPr>
        <w:t>五、一般公共预算财政拨款支出决算情况说明</w:t>
      </w:r>
    </w:p>
    <w:p>
      <w:pPr>
        <w:pStyle w:val="9"/>
        <w:ind w:firstLine="640" w:firstLineChars="200"/>
        <w:rPr>
          <w:rFonts w:asciiTheme="minorEastAsia" w:hAnsiTheme="minorEastAsia" w:eastAsiaTheme="minorEastAsia"/>
          <w:b/>
          <w:sz w:val="32"/>
          <w:szCs w:val="32"/>
        </w:rPr>
      </w:pPr>
      <w:r>
        <w:rPr>
          <w:rFonts w:hint="eastAsia" w:asciiTheme="minorEastAsia" w:hAnsiTheme="minorEastAsia" w:eastAsiaTheme="minorEastAsia"/>
          <w:b/>
          <w:sz w:val="32"/>
          <w:szCs w:val="32"/>
        </w:rPr>
        <w:t>（一）财政拨款支出决算总体情况</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支出2678.73万元，占本年支出合计的84.42%，与上年相比，财政拨款支出增加1283.86万元，增长192.04%，主要是因为新增综合教学楼建设项目支出，学生与教师公用经费标准增加，教师工资上涨，以及相应的医疗保险、养老保险、失业保险、工伤保险、生育保险的缴费基数增加。</w:t>
      </w:r>
    </w:p>
    <w:p>
      <w:pPr>
        <w:pStyle w:val="9"/>
        <w:ind w:firstLine="480" w:firstLineChars="150"/>
        <w:rPr>
          <w:rFonts w:asciiTheme="minorEastAsia" w:hAnsiTheme="minorEastAsia" w:eastAsiaTheme="minorEastAsia"/>
          <w:b/>
          <w:sz w:val="32"/>
          <w:szCs w:val="32"/>
        </w:rPr>
      </w:pPr>
      <w:r>
        <w:rPr>
          <w:rFonts w:hint="eastAsia" w:asciiTheme="minorEastAsia" w:hAnsiTheme="minorEastAsia" w:eastAsiaTheme="minorEastAsia"/>
          <w:b/>
          <w:sz w:val="32"/>
          <w:szCs w:val="32"/>
        </w:rPr>
        <w:t>（二）财政拨款支出决算结构情况</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支出2678.73万元，主要用于以下方面：一般公共服务（类）支出0万元，占0%；教育（类）支出2370.08万元，占88.48%;社会保障和就业服务（类）支出126.45万元，占4.72%；卫生健康（类）支出62.83万元，占2.35%。</w:t>
      </w:r>
    </w:p>
    <w:p>
      <w:pPr>
        <w:pStyle w:val="9"/>
        <w:ind w:firstLine="800" w:firstLineChars="250"/>
        <w:rPr>
          <w:rFonts w:asciiTheme="minorEastAsia" w:hAnsiTheme="minorEastAsia" w:eastAsiaTheme="minorEastAsia"/>
          <w:b/>
          <w:sz w:val="32"/>
          <w:szCs w:val="32"/>
        </w:rPr>
      </w:pPr>
      <w:r>
        <w:rPr>
          <w:rFonts w:hint="eastAsia" w:asciiTheme="minorEastAsia" w:hAnsiTheme="minorEastAsia" w:eastAsiaTheme="minorEastAsia"/>
          <w:b/>
          <w:sz w:val="32"/>
          <w:szCs w:val="32"/>
        </w:rPr>
        <w:t>（三）财政拨款支出决算具体情况</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2020年度财政拨款支出年初预算数为1572.62万元，支出决算数为2678.73万元，完成年初预算的170.34%，其中：</w:t>
      </w:r>
    </w:p>
    <w:p>
      <w:pPr>
        <w:pStyle w:val="9"/>
        <w:ind w:firstLine="640" w:firstLineChars="200"/>
        <w:rPr>
          <w:rFonts w:asciiTheme="minorEastAsia" w:hAnsiTheme="minorEastAsia" w:eastAsiaTheme="minorEastAsia"/>
          <w:color w:val="000000" w:themeColor="text1"/>
          <w:sz w:val="32"/>
          <w:szCs w:val="32"/>
        </w:rPr>
      </w:pPr>
      <w:r>
        <w:rPr>
          <w:rFonts w:hint="eastAsia" w:asciiTheme="minorEastAsia" w:hAnsiTheme="minorEastAsia" w:eastAsiaTheme="minorEastAsia"/>
          <w:color w:val="000000" w:themeColor="text1"/>
          <w:sz w:val="32"/>
          <w:szCs w:val="32"/>
        </w:rPr>
        <w:t>1、教育支出205（类）普通教育02（款）小学教育02（项）</w:t>
      </w:r>
    </w:p>
    <w:p>
      <w:pPr>
        <w:pStyle w:val="9"/>
        <w:ind w:firstLine="640" w:firstLineChars="200"/>
        <w:rPr>
          <w:rFonts w:asciiTheme="minorEastAsia" w:hAnsiTheme="minorEastAsia" w:eastAsiaTheme="minorEastAsia"/>
          <w:color w:val="000000" w:themeColor="text1"/>
          <w:sz w:val="32"/>
          <w:szCs w:val="32"/>
        </w:rPr>
      </w:pPr>
      <w:r>
        <w:rPr>
          <w:rFonts w:hint="eastAsia" w:asciiTheme="minorEastAsia" w:hAnsiTheme="minorEastAsia" w:eastAsiaTheme="minorEastAsia"/>
          <w:color w:val="000000" w:themeColor="text1"/>
          <w:sz w:val="32"/>
          <w:szCs w:val="32"/>
        </w:rPr>
        <w:t>年初预算为1410.25万元，支出决算为2370.08万元，完成年初预算的168.06%，决算数大于预算数的主要原因是：</w:t>
      </w:r>
      <w:r>
        <w:rPr>
          <w:rFonts w:hint="eastAsia" w:asciiTheme="minorEastAsia" w:hAnsiTheme="minorEastAsia" w:eastAsiaTheme="minorEastAsia"/>
          <w:sz w:val="32"/>
          <w:szCs w:val="32"/>
        </w:rPr>
        <w:t>新增综合教学楼项目支出，</w:t>
      </w:r>
      <w:r>
        <w:rPr>
          <w:rFonts w:hint="eastAsia" w:asciiTheme="minorEastAsia" w:hAnsiTheme="minorEastAsia" w:eastAsiaTheme="minorEastAsia"/>
          <w:color w:val="000000" w:themeColor="text1"/>
          <w:sz w:val="32"/>
          <w:szCs w:val="32"/>
        </w:rPr>
        <w:t>教师工资上涨，总额增加；学生人数增加，公用经费增加。</w:t>
      </w:r>
    </w:p>
    <w:p>
      <w:pPr>
        <w:pStyle w:val="9"/>
        <w:ind w:firstLine="640" w:firstLineChars="200"/>
        <w:rPr>
          <w:rFonts w:asciiTheme="minorEastAsia" w:hAnsiTheme="minorEastAsia" w:eastAsiaTheme="minorEastAsia"/>
          <w:color w:val="000000" w:themeColor="text1"/>
          <w:sz w:val="32"/>
          <w:szCs w:val="32"/>
        </w:rPr>
      </w:pPr>
      <w:r>
        <w:rPr>
          <w:rFonts w:hint="eastAsia" w:asciiTheme="minorEastAsia" w:hAnsiTheme="minorEastAsia" w:eastAsiaTheme="minorEastAsia"/>
          <w:color w:val="000000" w:themeColor="text1"/>
          <w:sz w:val="32"/>
          <w:szCs w:val="32"/>
        </w:rPr>
        <w:t>2、教育支出205（类）普通教育02（款）其他普通教育支出99（项）</w:t>
      </w:r>
    </w:p>
    <w:p>
      <w:pPr>
        <w:pStyle w:val="9"/>
        <w:ind w:firstLine="640" w:firstLineChars="200"/>
        <w:rPr>
          <w:rFonts w:asciiTheme="minorEastAsia" w:hAnsiTheme="minorEastAsia" w:eastAsiaTheme="minorEastAsia"/>
          <w:color w:val="000000" w:themeColor="text1"/>
          <w:sz w:val="32"/>
          <w:szCs w:val="32"/>
        </w:rPr>
      </w:pPr>
      <w:r>
        <w:rPr>
          <w:rFonts w:hint="eastAsia" w:asciiTheme="minorEastAsia" w:hAnsiTheme="minorEastAsia" w:eastAsiaTheme="minorEastAsia"/>
          <w:color w:val="000000" w:themeColor="text1"/>
          <w:sz w:val="32"/>
          <w:szCs w:val="32"/>
        </w:rPr>
        <w:t>其他普通教育支出：年初预算为748.95万元，支出决算为748.95万元，完成年初预算的100%，决算数等于预算数。</w:t>
      </w:r>
    </w:p>
    <w:p>
      <w:pPr>
        <w:pStyle w:val="9"/>
        <w:ind w:firstLine="640" w:firstLineChars="200"/>
        <w:rPr>
          <w:rFonts w:asciiTheme="minorEastAsia" w:hAnsiTheme="minorEastAsia" w:eastAsiaTheme="minorEastAsia"/>
          <w:color w:val="000000" w:themeColor="text1"/>
          <w:sz w:val="32"/>
          <w:szCs w:val="32"/>
        </w:rPr>
      </w:pPr>
      <w:r>
        <w:rPr>
          <w:rFonts w:hint="eastAsia" w:asciiTheme="minorEastAsia" w:hAnsiTheme="minorEastAsia" w:eastAsiaTheme="minorEastAsia"/>
          <w:color w:val="000000" w:themeColor="text1"/>
          <w:sz w:val="32"/>
          <w:szCs w:val="32"/>
        </w:rPr>
        <w:t>3、社会保障就业和就业支出208（类）行政事业单位养老支出05（款）机关事业单位基本养老保险缴费支出05（项）</w:t>
      </w:r>
    </w:p>
    <w:p>
      <w:pPr>
        <w:pStyle w:val="9"/>
        <w:ind w:firstLine="640" w:firstLineChars="200"/>
        <w:rPr>
          <w:rFonts w:asciiTheme="minorEastAsia" w:hAnsiTheme="minorEastAsia" w:eastAsiaTheme="minorEastAsia"/>
          <w:color w:val="000000" w:themeColor="text1"/>
          <w:sz w:val="32"/>
          <w:szCs w:val="32"/>
        </w:rPr>
      </w:pPr>
      <w:r>
        <w:rPr>
          <w:rFonts w:hint="eastAsia" w:asciiTheme="minorEastAsia" w:hAnsiTheme="minorEastAsia" w:eastAsiaTheme="minorEastAsia"/>
          <w:color w:val="000000" w:themeColor="text1"/>
          <w:sz w:val="32"/>
          <w:szCs w:val="32"/>
        </w:rPr>
        <w:t>机关事业单位基本养老保险缴费支出：年初预算为120.83万元，支出决算为120.83万元，完成预算的100%，决算数等于预算数。</w:t>
      </w:r>
    </w:p>
    <w:p>
      <w:pPr>
        <w:pStyle w:val="9"/>
        <w:ind w:firstLine="640" w:firstLineChars="200"/>
        <w:rPr>
          <w:rFonts w:asciiTheme="minorEastAsia" w:hAnsiTheme="minorEastAsia" w:eastAsiaTheme="minorEastAsia"/>
          <w:color w:val="000000" w:themeColor="text1"/>
          <w:sz w:val="32"/>
          <w:szCs w:val="32"/>
        </w:rPr>
      </w:pPr>
      <w:r>
        <w:rPr>
          <w:rFonts w:hint="eastAsia" w:asciiTheme="minorEastAsia" w:hAnsiTheme="minorEastAsia" w:eastAsiaTheme="minorEastAsia"/>
          <w:color w:val="000000" w:themeColor="text1"/>
          <w:sz w:val="32"/>
          <w:szCs w:val="32"/>
        </w:rPr>
        <w:t>4、卫生健康支出210（类）行政事业单位医疗11（款）事业单位医疗02（项）</w:t>
      </w:r>
    </w:p>
    <w:p>
      <w:pPr>
        <w:pStyle w:val="9"/>
        <w:ind w:firstLine="640" w:firstLineChars="200"/>
        <w:rPr>
          <w:rFonts w:asciiTheme="minorEastAsia" w:hAnsiTheme="minorEastAsia" w:eastAsiaTheme="minorEastAsia"/>
          <w:color w:val="000000" w:themeColor="text1"/>
          <w:sz w:val="32"/>
          <w:szCs w:val="32"/>
        </w:rPr>
      </w:pPr>
      <w:r>
        <w:rPr>
          <w:rFonts w:hint="eastAsia" w:asciiTheme="minorEastAsia" w:hAnsiTheme="minorEastAsia" w:eastAsiaTheme="minorEastAsia"/>
          <w:color w:val="000000" w:themeColor="text1"/>
          <w:sz w:val="32"/>
          <w:szCs w:val="32"/>
        </w:rPr>
        <w:t>事业单位医疗支出：年初预算为62.83万元，支出决算为62.83万元，完成年初预算的100%，决算数等于预算数。</w:t>
      </w:r>
    </w:p>
    <w:p>
      <w:pPr>
        <w:pStyle w:val="9"/>
        <w:rPr>
          <w:rFonts w:hAnsi="黑体"/>
          <w:b/>
          <w:sz w:val="32"/>
          <w:szCs w:val="32"/>
        </w:rPr>
      </w:pPr>
      <w:r>
        <w:rPr>
          <w:rFonts w:hint="eastAsia" w:hAnsi="黑体"/>
          <w:b/>
          <w:sz w:val="32"/>
          <w:szCs w:val="32"/>
        </w:rPr>
        <w:t>六、一般公共预算财政拨款基本支出决算情况说明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基本支出2417.62元，其中：人员经费2197.75万元，占基本支出的90.91%,主要包括基本工资、津贴补贴、奖金、伙食补助费、机关事业单位基本养老保险费、职工基本医疗保险缴费、其他工资福利支出、对个人和家庭的补助、生活补助、其他对个人和家庭的补助；公用经费219.87万元，占基本支出的9.09%，主要包括办公费、印刷费、水费、电费、维修费、租赁费、劳务费、工会经费、其他商品和服务支出、办公设备购置。</w:t>
      </w:r>
    </w:p>
    <w:p>
      <w:pPr>
        <w:pStyle w:val="9"/>
        <w:rPr>
          <w:rFonts w:hAnsi="黑体"/>
          <w:b/>
          <w:sz w:val="32"/>
          <w:szCs w:val="32"/>
        </w:rPr>
      </w:pPr>
      <w:r>
        <w:rPr>
          <w:rFonts w:hint="eastAsia" w:hAnsi="黑体"/>
          <w:b/>
          <w:sz w:val="32"/>
          <w:szCs w:val="32"/>
        </w:rPr>
        <w:t>七、一般公共预算财政拨款三公经费支出决算情况说明</w:t>
      </w:r>
    </w:p>
    <w:p>
      <w:pPr>
        <w:pStyle w:val="9"/>
        <w:rPr>
          <w:rFonts w:asciiTheme="minorEastAsia" w:hAnsiTheme="minorEastAsia" w:eastAsiaTheme="minorEastAsia"/>
          <w:b/>
          <w:sz w:val="32"/>
          <w:szCs w:val="32"/>
        </w:rPr>
      </w:pPr>
      <w:r>
        <w:rPr>
          <w:rFonts w:hint="eastAsia" w:asciiTheme="minorEastAsia" w:hAnsiTheme="minorEastAsia" w:eastAsiaTheme="minorEastAsia"/>
          <w:b/>
          <w:sz w:val="32"/>
          <w:szCs w:val="32"/>
        </w:rPr>
        <w:t>（一）“三公”经费财政拨款支出决算总体情况说明</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“三公”经费财政拨款支出预算为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万元，支出决算为0万元，完成预算的</w:t>
      </w:r>
      <w:r>
        <w:rPr>
          <w:rFonts w:hint="eastAsia" w:asciiTheme="minorEastAsia" w:hAnsiTheme="minorEastAsia" w:eastAsiaTheme="minorEastAsia"/>
          <w:sz w:val="32"/>
          <w:szCs w:val="32"/>
          <w:lang w:val="en-US" w:eastAsia="zh-CN"/>
        </w:rPr>
        <w:t>10</w:t>
      </w:r>
      <w:r>
        <w:rPr>
          <w:rFonts w:hint="eastAsia" w:asciiTheme="minorEastAsia" w:hAnsiTheme="minorEastAsia" w:eastAsiaTheme="minorEastAsia"/>
          <w:sz w:val="32"/>
          <w:szCs w:val="32"/>
        </w:rPr>
        <w:t>0%，其中：</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因公出国（境）费支出预算为0万元，支出决算为0万元，完成预算的0%，决算数等于预算数的主要原因是本单位无因公出国。</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公务接待费支出预算为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万元，支出决算为0万元，完成预算的</w:t>
      </w:r>
      <w:r>
        <w:rPr>
          <w:rFonts w:hint="eastAsia" w:asciiTheme="minorEastAsia" w:hAnsiTheme="minorEastAsia" w:eastAsiaTheme="minorEastAsia"/>
          <w:sz w:val="32"/>
          <w:szCs w:val="32"/>
          <w:lang w:val="en-US" w:eastAsia="zh-CN"/>
        </w:rPr>
        <w:t>10</w:t>
      </w:r>
      <w:r>
        <w:rPr>
          <w:rFonts w:hint="eastAsia" w:asciiTheme="minorEastAsia" w:hAnsiTheme="minorEastAsia" w:eastAsiaTheme="minorEastAsia"/>
          <w:sz w:val="32"/>
          <w:szCs w:val="32"/>
        </w:rPr>
        <w:t>0%，决算数小于预算数的主要原因是</w:t>
      </w:r>
      <w:r>
        <w:rPr>
          <w:rFonts w:hint="eastAsia" w:asciiTheme="minorEastAsia" w:hAnsiTheme="minorEastAsia" w:eastAsiaTheme="minorEastAsia"/>
          <w:color w:val="000000" w:themeColor="text1"/>
          <w:sz w:val="32"/>
          <w:szCs w:val="32"/>
        </w:rPr>
        <w:t>本单位例行节约，零招待费</w:t>
      </w:r>
      <w:r>
        <w:rPr>
          <w:rFonts w:hint="eastAsia" w:asciiTheme="minorEastAsia" w:hAnsiTheme="minorEastAsia" w:eastAsiaTheme="minorEastAsia"/>
          <w:sz w:val="32"/>
          <w:szCs w:val="32"/>
        </w:rPr>
        <w:t>。</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公务用车购置费及运行维护费支出预算为0万元，支出决算为0万元，完成预算的</w:t>
      </w:r>
      <w:r>
        <w:rPr>
          <w:rFonts w:hint="eastAsia" w:asciiTheme="minorEastAsia" w:hAnsiTheme="minorEastAsia" w:eastAsiaTheme="minorEastAsia"/>
          <w:sz w:val="32"/>
          <w:szCs w:val="32"/>
          <w:lang w:val="en-US" w:eastAsia="zh-CN"/>
        </w:rPr>
        <w:t>10</w:t>
      </w:r>
      <w:r>
        <w:rPr>
          <w:rFonts w:hint="eastAsia" w:asciiTheme="minorEastAsia" w:hAnsiTheme="minorEastAsia" w:eastAsiaTheme="minorEastAsia"/>
          <w:sz w:val="32"/>
          <w:szCs w:val="32"/>
        </w:rPr>
        <w:t>0%，决算数等于预算数的主要原因是本单位无公</w:t>
      </w:r>
      <w:bookmarkStart w:id="0" w:name="_GoBack"/>
      <w:bookmarkEnd w:id="0"/>
      <w:r>
        <w:rPr>
          <w:rFonts w:hint="eastAsia" w:asciiTheme="minorEastAsia" w:hAnsiTheme="minorEastAsia" w:eastAsiaTheme="minorEastAsia"/>
          <w:sz w:val="32"/>
          <w:szCs w:val="32"/>
        </w:rPr>
        <w:t>务用车。</w:t>
      </w:r>
    </w:p>
    <w:p>
      <w:pPr>
        <w:pStyle w:val="9"/>
        <w:rPr>
          <w:rFonts w:asciiTheme="minorEastAsia" w:hAnsiTheme="minorEastAsia" w:eastAsiaTheme="minorEastAsia"/>
          <w:b/>
          <w:sz w:val="32"/>
          <w:szCs w:val="32"/>
        </w:rPr>
      </w:pPr>
      <w:r>
        <w:rPr>
          <w:rFonts w:hint="eastAsia" w:asciiTheme="minorEastAsia" w:hAnsiTheme="minorEastAsia" w:eastAsiaTheme="minorEastAsia"/>
          <w:b/>
          <w:sz w:val="32"/>
          <w:szCs w:val="32"/>
        </w:rPr>
        <w:t>（二）“三公”经费财政拨款支出决算具体情况说明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2020年度“三公”经费财政拨款支出决算中，公务接待费支出决算0万元，占0%,因公出国（境）费支出0万元，占0%,公务用车购置费及运行维护费支出决算0万元，占0%。其中：</w:t>
      </w:r>
    </w:p>
    <w:p>
      <w:pPr>
        <w:pStyle w:val="9"/>
        <w:ind w:firstLine="640" w:firstLineChars="200"/>
        <w:rPr>
          <w:rFonts w:asciiTheme="minorEastAsia" w:hAnsiTheme="minorEastAsia" w:eastAsiaTheme="minorEastAsia"/>
          <w:b/>
          <w:sz w:val="32"/>
          <w:szCs w:val="32"/>
        </w:rPr>
      </w:pPr>
      <w:r>
        <w:rPr>
          <w:rFonts w:hint="eastAsia" w:asciiTheme="minorEastAsia" w:hAnsiTheme="minorEastAsia" w:eastAsiaTheme="minorEastAsia"/>
          <w:sz w:val="32"/>
          <w:szCs w:val="32"/>
        </w:rPr>
        <w:t>1、因公出国（境）费支出决算为0万元，全年安排因公出国（境）团组0个，累计0人次，本单位无因公出国。</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2、公务接待费支出决算为0万元，全年共接待来访团组0个、来宾0人次，</w:t>
      </w:r>
      <w:r>
        <w:rPr>
          <w:rFonts w:hint="eastAsia" w:asciiTheme="minorEastAsia" w:hAnsiTheme="minorEastAsia" w:eastAsiaTheme="minorEastAsia"/>
          <w:color w:val="000000" w:themeColor="text1"/>
          <w:sz w:val="32"/>
          <w:szCs w:val="32"/>
        </w:rPr>
        <w:t>本单位例行节约，零招待费</w:t>
      </w:r>
      <w:r>
        <w:rPr>
          <w:rFonts w:hint="eastAsia" w:asciiTheme="minorEastAsia" w:hAnsiTheme="minorEastAsia" w:eastAsiaTheme="minorEastAsia"/>
          <w:sz w:val="32"/>
          <w:szCs w:val="32"/>
        </w:rPr>
        <w:t>。</w:t>
      </w:r>
    </w:p>
    <w:p>
      <w:pPr>
        <w:pStyle w:val="9"/>
        <w:ind w:firstLine="640" w:firstLineChars="200"/>
        <w:rPr>
          <w:rFonts w:asciiTheme="minorEastAsia" w:hAnsiTheme="minorEastAsia" w:eastAsiaTheme="minorEastAsia"/>
          <w:b/>
          <w:sz w:val="32"/>
          <w:szCs w:val="32"/>
        </w:rPr>
      </w:pPr>
      <w:r>
        <w:rPr>
          <w:rFonts w:hint="eastAsia" w:asciiTheme="minorEastAsia" w:hAnsiTheme="minorEastAsia" w:eastAsiaTheme="minorEastAsia"/>
          <w:sz w:val="32"/>
          <w:szCs w:val="32"/>
        </w:rPr>
        <w:t>3、公务用车购置费及运行维护费支出决算为0万元，其中：公务用车购置费0万元。公务用车运行维护费0万元，截止2020年12月31日，我单位开支财政拨款的公务用车保有量为0辆。</w:t>
      </w:r>
    </w:p>
    <w:p>
      <w:pPr>
        <w:pStyle w:val="9"/>
        <w:rPr>
          <w:rFonts w:hAnsi="黑体"/>
          <w:b/>
          <w:sz w:val="32"/>
          <w:szCs w:val="32"/>
        </w:rPr>
      </w:pPr>
      <w:r>
        <w:rPr>
          <w:rFonts w:hint="eastAsia" w:hAnsi="黑体"/>
          <w:b/>
          <w:sz w:val="32"/>
          <w:szCs w:val="32"/>
        </w:rPr>
        <w:t>八、政府性基金预算收入支出决算情况</w:t>
      </w:r>
    </w:p>
    <w:p>
      <w:pPr>
        <w:pStyle w:val="9"/>
        <w:rPr>
          <w:rFonts w:asciiTheme="minorEastAsia" w:hAnsiTheme="minorEastAsia" w:eastAsiaTheme="minorEastAsia"/>
          <w:i/>
          <w:color w:val="FF0000"/>
          <w:sz w:val="32"/>
          <w:szCs w:val="32"/>
        </w:rPr>
      </w:pPr>
      <w:r>
        <w:rPr>
          <w:rFonts w:hint="eastAsia" w:asciiTheme="minorEastAsia" w:hAnsiTheme="minorEastAsia" w:eastAsiaTheme="minorEastAsia"/>
          <w:sz w:val="32"/>
          <w:szCs w:val="32"/>
        </w:rPr>
        <w:t xml:space="preserve">     2020年度政府性基金预算财政拨款收入0万元；年初结转和结余0万元；支出0万元，其中基本支出0万元，项目支出0万元；年末结转和结余0万元。本单位无政府性基金收支。</w:t>
      </w:r>
    </w:p>
    <w:p>
      <w:pPr>
        <w:pStyle w:val="9"/>
        <w:rPr>
          <w:rFonts w:hAnsi="黑体"/>
          <w:b/>
          <w:sz w:val="32"/>
          <w:szCs w:val="32"/>
        </w:rPr>
      </w:pPr>
      <w:r>
        <w:rPr>
          <w:rFonts w:hint="eastAsia" w:hAnsi="黑体"/>
          <w:b/>
          <w:sz w:val="32"/>
          <w:szCs w:val="32"/>
        </w:rPr>
        <w:t>九、关于机关运行经费支出说明</w:t>
      </w:r>
    </w:p>
    <w:p>
      <w:pPr>
        <w:ind w:firstLine="640" w:firstLineChars="200"/>
        <w:rPr>
          <w:rFonts w:cs="黑体" w:asciiTheme="minorEastAsia" w:hAnsiTheme="minorEastAsia"/>
          <w:color w:val="000000"/>
          <w:kern w:val="0"/>
          <w:sz w:val="32"/>
          <w:szCs w:val="32"/>
        </w:rPr>
      </w:pPr>
      <w:r>
        <w:rPr>
          <w:rFonts w:hint="eastAsia" w:asciiTheme="minorEastAsia" w:hAnsiTheme="minorEastAsia"/>
          <w:sz w:val="32"/>
          <w:szCs w:val="32"/>
        </w:rPr>
        <w:t>本部门2020年度机关运行经费支出0万元，</w:t>
      </w:r>
      <w:r>
        <w:rPr>
          <w:rFonts w:hint="eastAsia" w:cs="黑体" w:asciiTheme="minorEastAsia" w:hAnsiTheme="minorEastAsia"/>
          <w:color w:val="000000"/>
          <w:kern w:val="0"/>
          <w:sz w:val="32"/>
          <w:szCs w:val="32"/>
        </w:rPr>
        <w:t>由于本单位为事业单位，没有机关运行经费。</w:t>
      </w:r>
    </w:p>
    <w:p>
      <w:pPr>
        <w:pStyle w:val="9"/>
        <w:rPr>
          <w:rFonts w:hAnsi="黑体"/>
          <w:b/>
          <w:sz w:val="32"/>
          <w:szCs w:val="32"/>
        </w:rPr>
      </w:pPr>
      <w:r>
        <w:rPr>
          <w:rFonts w:hint="eastAsia" w:hAnsi="黑体"/>
          <w:b/>
          <w:sz w:val="32"/>
          <w:szCs w:val="32"/>
        </w:rPr>
        <w:t>十、一般性支出情况</w:t>
      </w:r>
    </w:p>
    <w:p>
      <w:pPr>
        <w:ind w:firstLine="640" w:firstLineChars="200"/>
        <w:rPr>
          <w:rFonts w:cs="黑体" w:asciiTheme="minorEastAsia" w:hAnsiTheme="minorEastAsia"/>
          <w:color w:val="000000"/>
          <w:kern w:val="0"/>
          <w:sz w:val="32"/>
          <w:szCs w:val="32"/>
        </w:rPr>
      </w:pPr>
      <w:r>
        <w:rPr>
          <w:rFonts w:hint="eastAsia" w:asciiTheme="minorEastAsia" w:hAnsiTheme="minorEastAsia"/>
          <w:sz w:val="32"/>
          <w:szCs w:val="32"/>
        </w:rPr>
        <w:t>2020年本部门开支会议费0元；</w:t>
      </w:r>
      <w:r>
        <w:rPr>
          <w:rFonts w:hint="eastAsia" w:cs="黑体" w:asciiTheme="minorEastAsia" w:hAnsiTheme="minorEastAsia"/>
          <w:color w:val="000000"/>
          <w:kern w:val="0"/>
          <w:sz w:val="32"/>
          <w:szCs w:val="32"/>
        </w:rPr>
        <w:t>办公费32.50万元；培训费1.14万元，用于外出教育教学专门培训；印刷费15.65万元；水费26.75万元；电费16.77万元；维修（护）费26.96万元；租赁费9.95万元；劳务费0.97万元；工会经费38.50万元；其他交通费0.55元；其他商品和服务支出37.86万元；办公设备购置31.09万元，用于维持教育教学工作运行。</w:t>
      </w:r>
    </w:p>
    <w:p>
      <w:pPr>
        <w:pStyle w:val="9"/>
        <w:rPr>
          <w:rFonts w:hAnsi="黑体"/>
          <w:b/>
          <w:sz w:val="32"/>
          <w:szCs w:val="32"/>
        </w:rPr>
      </w:pPr>
      <w:r>
        <w:rPr>
          <w:rFonts w:hint="eastAsia" w:hAnsi="黑体"/>
          <w:b/>
          <w:sz w:val="32"/>
          <w:szCs w:val="32"/>
        </w:rPr>
        <w:t>十一、关于政府采购支出说明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部门2020年度政府采购支出0万元，其中：政府采购货物支出0万元、政府采购工程支出0万元、政府采购服务支出0万元。授予中小企业合同金额0万元，占政府采购支出总额的0%，其中：授予小微企业合同金额0万元，占政府采购支出总额的0%。</w:t>
      </w:r>
    </w:p>
    <w:p>
      <w:pPr>
        <w:pStyle w:val="9"/>
        <w:rPr>
          <w:rFonts w:hAnsi="黑体"/>
          <w:b/>
          <w:sz w:val="32"/>
          <w:szCs w:val="32"/>
        </w:rPr>
      </w:pPr>
      <w:r>
        <w:rPr>
          <w:rFonts w:hint="eastAsia" w:hAnsi="黑体"/>
          <w:b/>
          <w:sz w:val="32"/>
          <w:szCs w:val="32"/>
        </w:rPr>
        <w:t>十二、关于国有资产占用情况说明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截至2020年12月31日，本单位共有车辆0辆，其中，主要领导干部用车0辆，机要通信用车0辆、应急保障用车0辆、执法执勤用车0辆、特种专业技术用车0辆、其他用车0辆，其他用车无；单位价值50万元以上通用设备0台（套）；单位价值100万元以上专用设备0台（套）。</w:t>
      </w:r>
    </w:p>
    <w:p>
      <w:pPr>
        <w:pStyle w:val="9"/>
        <w:rPr>
          <w:rFonts w:hAnsi="黑体"/>
          <w:b/>
          <w:sz w:val="32"/>
          <w:szCs w:val="32"/>
        </w:rPr>
      </w:pPr>
      <w:r>
        <w:rPr>
          <w:rFonts w:hint="eastAsia" w:hAnsi="黑体"/>
          <w:b/>
          <w:sz w:val="32"/>
          <w:szCs w:val="32"/>
        </w:rPr>
        <w:t>十三、关于2020年度预算绩效情况的说明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本部门预算绩效管理开展情况、绩效目标和绩效评价报告等附后。</w:t>
      </w:r>
    </w:p>
    <w:p>
      <w:pPr>
        <w:pStyle w:val="9"/>
        <w:rPr>
          <w:rFonts w:hAnsi="黑体"/>
          <w:b/>
          <w:sz w:val="32"/>
          <w:szCs w:val="3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r>
        <w:rPr>
          <w:rFonts w:hint="eastAsia"/>
          <w:sz w:val="72"/>
          <w:szCs w:val="72"/>
        </w:rPr>
        <w:t>第四部分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名词解释</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ind w:firstLine="640" w:firstLineChars="200"/>
        <w:jc w:val="left"/>
        <w:rPr>
          <w:rFonts w:cs="黑体" w:asciiTheme="minorEastAsia" w:hAnsiTheme="minorEastAsia"/>
          <w:color w:val="000000"/>
          <w:kern w:val="0"/>
          <w:sz w:val="32"/>
          <w:szCs w:val="32"/>
        </w:rPr>
      </w:pPr>
    </w:p>
    <w:p>
      <w:pPr>
        <w:spacing w:line="600" w:lineRule="exact"/>
        <w:ind w:firstLine="640" w:firstLineChars="200"/>
        <w:rPr>
          <w:rFonts w:ascii="Calibri" w:hAnsi="Calibri" w:eastAsia="仿宋_GB2312" w:cs="宋体"/>
          <w:kern w:val="0"/>
          <w:sz w:val="32"/>
          <w:szCs w:val="32"/>
        </w:rPr>
      </w:pPr>
      <w:r>
        <w:rPr>
          <w:rFonts w:hint="eastAsia" w:eastAsia="仿宋_GB2312"/>
          <w:kern w:val="0"/>
          <w:sz w:val="32"/>
          <w:szCs w:val="32"/>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pPr>
        <w:spacing w:line="600" w:lineRule="exact"/>
        <w:ind w:firstLine="640" w:firstLineChars="200"/>
        <w:rPr>
          <w:rFonts w:eastAsia="仿宋_GB2312"/>
          <w:kern w:val="0"/>
          <w:sz w:val="32"/>
          <w:szCs w:val="32"/>
        </w:rPr>
      </w:pPr>
      <w:r>
        <w:rPr>
          <w:rFonts w:hint="eastAsia" w:eastAsia="仿宋_GB2312"/>
          <w:kern w:val="0"/>
          <w:sz w:val="32"/>
          <w:szCs w:val="32"/>
        </w:rPr>
        <w:t>二、</w:t>
      </w:r>
      <w:r>
        <w:rPr>
          <w:rFonts w:eastAsia="仿宋_GB2312"/>
          <w:kern w:val="0"/>
          <w:sz w:val="32"/>
          <w:szCs w:val="32"/>
        </w:rPr>
        <w:t>“</w:t>
      </w:r>
      <w:r>
        <w:rPr>
          <w:rFonts w:hint="eastAsia" w:eastAsia="仿宋_GB2312"/>
          <w:kern w:val="0"/>
          <w:sz w:val="32"/>
          <w:szCs w:val="32"/>
        </w:rPr>
        <w:t>三公</w:t>
      </w:r>
      <w:r>
        <w:rPr>
          <w:rFonts w:eastAsia="仿宋_GB2312"/>
          <w:kern w:val="0"/>
          <w:sz w:val="32"/>
          <w:szCs w:val="32"/>
        </w:rPr>
        <w:t>”</w:t>
      </w:r>
      <w:r>
        <w:rPr>
          <w:rFonts w:hint="eastAsia" w:eastAsia="仿宋_GB2312"/>
          <w:kern w:val="0"/>
          <w:sz w:val="32"/>
          <w:szCs w:val="32"/>
        </w:rPr>
        <w:t>经费：纳入财政预算管理的</w:t>
      </w:r>
      <w:r>
        <w:rPr>
          <w:rFonts w:eastAsia="仿宋_GB2312"/>
          <w:kern w:val="0"/>
          <w:sz w:val="32"/>
          <w:szCs w:val="32"/>
        </w:rPr>
        <w:t>“</w:t>
      </w:r>
      <w:r>
        <w:rPr>
          <w:rFonts w:hint="eastAsia" w:eastAsia="仿宋_GB2312"/>
          <w:kern w:val="0"/>
          <w:sz w:val="32"/>
          <w:szCs w:val="32"/>
        </w:rPr>
        <w:t>三公</w:t>
      </w:r>
      <w:r>
        <w:rPr>
          <w:rFonts w:eastAsia="仿宋_GB2312"/>
          <w:kern w:val="0"/>
          <w:sz w:val="32"/>
          <w:szCs w:val="32"/>
        </w:rPr>
        <w:t>“</w:t>
      </w:r>
      <w:r>
        <w:rPr>
          <w:rFonts w:hint="eastAsia" w:eastAsia="仿宋_GB2312"/>
          <w:kern w:val="0"/>
          <w:sz w:val="32"/>
          <w:szCs w:val="32"/>
        </w:rPr>
        <w:t>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r>
        <w:rPr>
          <w:rFonts w:hint="eastAsia"/>
          <w:sz w:val="72"/>
          <w:szCs w:val="72"/>
        </w:rPr>
        <w:t>第五部分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附件</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jc w:val="center"/>
        <w:rPr>
          <w:rFonts w:ascii="黑体" w:eastAsia="黑体" w:cs="黑体"/>
          <w:color w:val="000000"/>
          <w:kern w:val="0"/>
          <w:sz w:val="70"/>
          <w:szCs w:val="70"/>
        </w:rPr>
      </w:pPr>
    </w:p>
    <w:p>
      <w:pPr>
        <w:ind w:firstLine="640" w:firstLineChars="200"/>
        <w:jc w:val="center"/>
        <w:rPr>
          <w:rFonts w:cs="黑体" w:asciiTheme="minorEastAsia" w:hAnsiTheme="minorEastAsia"/>
          <w:b/>
          <w:color w:val="000000"/>
          <w:kern w:val="0"/>
          <w:sz w:val="32"/>
          <w:szCs w:val="32"/>
        </w:rPr>
      </w:pPr>
      <w:r>
        <w:rPr>
          <w:rFonts w:hint="eastAsia" w:cs="黑体" w:asciiTheme="minorEastAsia" w:hAnsiTheme="minorEastAsia"/>
          <w:b/>
          <w:color w:val="000000"/>
          <w:kern w:val="0"/>
          <w:sz w:val="32"/>
          <w:szCs w:val="32"/>
        </w:rPr>
        <w:t>2020年度部门整体支出绩效评价报告</w:t>
      </w:r>
    </w:p>
    <w:p>
      <w:pPr>
        <w:pStyle w:val="10"/>
        <w:widowControl/>
        <w:spacing w:line="60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一、</w:t>
      </w:r>
      <w:r>
        <w:rPr>
          <w:rFonts w:ascii="Times New Roman" w:hAnsi="Times New Roman" w:eastAsia="黑体"/>
          <w:sz w:val="32"/>
          <w:szCs w:val="32"/>
        </w:rPr>
        <w:t>部门、单位基本情况</w:t>
      </w:r>
    </w:p>
    <w:p>
      <w:pPr>
        <w:ind w:firstLine="640" w:firstLineChars="200"/>
        <w:rPr>
          <w:rFonts w:ascii="仿宋_GB2312" w:eastAsia="仿宋_GB2312"/>
          <w:sz w:val="32"/>
          <w:szCs w:val="32"/>
        </w:rPr>
      </w:pPr>
      <w:r>
        <w:rPr>
          <w:rFonts w:hint="eastAsia" w:ascii="仿宋_GB2312" w:eastAsia="仿宋_GB2312"/>
          <w:sz w:val="32"/>
          <w:szCs w:val="32"/>
        </w:rPr>
        <w:t>1、怀化市跃进路小学是全额拨款的事业单位。内设10个职能处室：学校校长室、书记室、副校长室、工会、总务处、办公室、教务处、德育处、教研室、财务室。</w:t>
      </w:r>
    </w:p>
    <w:p>
      <w:pPr>
        <w:ind w:firstLine="640" w:firstLineChars="200"/>
        <w:rPr>
          <w:rFonts w:ascii="仿宋_GB2312" w:eastAsia="仿宋_GB2312"/>
          <w:sz w:val="32"/>
          <w:szCs w:val="32"/>
        </w:rPr>
      </w:pPr>
      <w:r>
        <w:rPr>
          <w:rFonts w:hint="eastAsia" w:ascii="仿宋_GB2312" w:eastAsia="仿宋_GB2312"/>
          <w:sz w:val="32"/>
          <w:szCs w:val="32"/>
        </w:rPr>
        <w:t>2、主要工作职责：全面贯彻党的教育方针，落实九年义务教育小学阶段各项政策，保障学生受教育的各项权利，维护教师职工各项权益。</w:t>
      </w:r>
    </w:p>
    <w:p>
      <w:pPr>
        <w:ind w:firstLine="640" w:firstLineChars="200"/>
        <w:rPr>
          <w:rFonts w:ascii="仿宋_GB2312" w:eastAsia="仿宋_GB2312"/>
          <w:sz w:val="32"/>
          <w:szCs w:val="32"/>
        </w:rPr>
      </w:pPr>
      <w:r>
        <w:rPr>
          <w:rFonts w:hint="eastAsia" w:ascii="仿宋_GB2312" w:eastAsia="仿宋_GB2312"/>
          <w:sz w:val="32"/>
          <w:szCs w:val="32"/>
        </w:rPr>
        <w:t>3、编制人员情况:现实有在职人员120人（其中全额拨款</w:t>
      </w:r>
      <w:r>
        <w:rPr>
          <w:rFonts w:ascii="仿宋_GB2312" w:eastAsia="仿宋_GB2312"/>
          <w:sz w:val="32"/>
          <w:szCs w:val="32"/>
        </w:rPr>
        <w:t>91</w:t>
      </w:r>
      <w:r>
        <w:rPr>
          <w:rFonts w:hint="eastAsia" w:ascii="仿宋_GB2312" w:eastAsia="仿宋_GB2312"/>
          <w:sz w:val="32"/>
          <w:szCs w:val="32"/>
        </w:rPr>
        <w:t>人，自收自支0人），离退休人员63人(其中财政拨款63人，自收自支0人），遗属人员3人。</w:t>
      </w:r>
    </w:p>
    <w:p>
      <w:pPr>
        <w:pStyle w:val="10"/>
        <w:widowControl/>
        <w:spacing w:line="60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二、</w:t>
      </w:r>
      <w:r>
        <w:rPr>
          <w:rFonts w:ascii="Times New Roman" w:hAnsi="Times New Roman" w:eastAsia="黑体"/>
          <w:sz w:val="32"/>
          <w:szCs w:val="32"/>
        </w:rPr>
        <w:t>一般公共预算支出情况</w:t>
      </w:r>
    </w:p>
    <w:p>
      <w:pPr>
        <w:pStyle w:val="10"/>
        <w:widowControl/>
        <w:spacing w:line="60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（一）</w:t>
      </w:r>
      <w:r>
        <w:rPr>
          <w:rFonts w:ascii="Times New Roman" w:hAnsi="Times New Roman" w:eastAsia="黑体"/>
          <w:sz w:val="32"/>
          <w:szCs w:val="32"/>
        </w:rPr>
        <w:t>基本支出情况</w:t>
      </w:r>
    </w:p>
    <w:p>
      <w:pPr>
        <w:ind w:firstLine="640" w:firstLineChars="200"/>
        <w:rPr>
          <w:rFonts w:ascii="仿宋_GB2312" w:eastAsia="仿宋_GB2312"/>
          <w:sz w:val="32"/>
          <w:szCs w:val="32"/>
        </w:rPr>
      </w:pPr>
      <w:r>
        <w:rPr>
          <w:rFonts w:hint="eastAsia" w:ascii="仿宋_GB2312" w:eastAsia="仿宋_GB2312"/>
          <w:sz w:val="32"/>
          <w:szCs w:val="32"/>
        </w:rPr>
        <w:t>基本支出：2020年年初预算数为</w:t>
      </w:r>
      <w:r>
        <w:rPr>
          <w:rFonts w:hint="eastAsia" w:asciiTheme="minorEastAsia" w:hAnsiTheme="minorEastAsia"/>
          <w:sz w:val="32"/>
          <w:szCs w:val="32"/>
        </w:rPr>
        <w:t>2417.62</w:t>
      </w:r>
      <w:r>
        <w:rPr>
          <w:rFonts w:hint="eastAsia" w:ascii="仿宋_GB2312" w:eastAsia="仿宋_GB2312"/>
          <w:sz w:val="32"/>
          <w:szCs w:val="32"/>
        </w:rPr>
        <w:t>万元，是指为保障单位机构正常运转、完成日常工作任务而发生的各项支出，包括用于基本工资、津贴补贴等人员经费以及办公费、印刷费、水电费、物业管理费等日常公用经费。</w:t>
      </w:r>
    </w:p>
    <w:p>
      <w:pPr>
        <w:pStyle w:val="10"/>
        <w:widowControl/>
        <w:spacing w:line="60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（二）</w:t>
      </w:r>
      <w:r>
        <w:rPr>
          <w:rFonts w:ascii="Times New Roman" w:hAnsi="Times New Roman" w:eastAsia="黑体"/>
          <w:sz w:val="32"/>
          <w:szCs w:val="32"/>
        </w:rPr>
        <w:t>项目支出情况</w:t>
      </w:r>
    </w:p>
    <w:p>
      <w:pPr>
        <w:widowControl/>
        <w:spacing w:line="600" w:lineRule="exact"/>
        <w:ind w:firstLine="640" w:firstLineChars="200"/>
        <w:jc w:val="left"/>
        <w:rPr>
          <w:rFonts w:eastAsia="仿宋_GB2312"/>
          <w:sz w:val="32"/>
          <w:szCs w:val="32"/>
        </w:rPr>
      </w:pPr>
      <w:r>
        <w:rPr>
          <w:rFonts w:hint="eastAsia" w:eastAsia="仿宋_GB2312"/>
          <w:sz w:val="32"/>
          <w:szCs w:val="32"/>
        </w:rPr>
        <w:t>项目支出：2020年年初预算数为0万元，是指单位为完成特定行政工作任务或事业发展目标而发生的支出，包括有产业发展引导类0万元、专项业务费用类0万元、基本建设类0万元、对个人和家庭补助类0万元。</w:t>
      </w:r>
    </w:p>
    <w:p>
      <w:pPr>
        <w:pStyle w:val="10"/>
        <w:widowControl/>
        <w:spacing w:line="600" w:lineRule="exact"/>
        <w:ind w:left="640" w:firstLine="0" w:firstLineChars="0"/>
        <w:jc w:val="left"/>
        <w:rPr>
          <w:rFonts w:ascii="Times New Roman" w:hAnsi="Times New Roman" w:eastAsia="黑体"/>
          <w:sz w:val="32"/>
          <w:szCs w:val="32"/>
        </w:rPr>
      </w:pPr>
      <w:r>
        <w:rPr>
          <w:rFonts w:hint="eastAsia" w:ascii="Times New Roman" w:hAnsi="Times New Roman" w:eastAsia="黑体"/>
          <w:sz w:val="32"/>
          <w:szCs w:val="32"/>
        </w:rPr>
        <w:t>三、</w:t>
      </w:r>
      <w:r>
        <w:rPr>
          <w:rFonts w:ascii="Times New Roman" w:hAnsi="Times New Roman" w:eastAsia="黑体"/>
          <w:sz w:val="32"/>
          <w:szCs w:val="32"/>
        </w:rPr>
        <w:t>政府性基金预算支出情况</w:t>
      </w:r>
    </w:p>
    <w:p>
      <w:pPr>
        <w:widowControl/>
        <w:spacing w:line="500" w:lineRule="auto"/>
        <w:ind w:firstLine="640" w:firstLineChars="200"/>
        <w:jc w:val="left"/>
        <w:rPr>
          <w:rFonts w:eastAsia="仿宋_GB2312"/>
          <w:sz w:val="32"/>
          <w:szCs w:val="32"/>
        </w:rPr>
      </w:pPr>
      <w:r>
        <w:rPr>
          <w:rFonts w:hint="eastAsia" w:eastAsia="仿宋_GB2312"/>
          <w:sz w:val="32"/>
          <w:szCs w:val="32"/>
        </w:rPr>
        <w:t>2020年政府性基金支出为0万元，2020年无政府性基金支出。</w:t>
      </w:r>
    </w:p>
    <w:p>
      <w:pPr>
        <w:pStyle w:val="10"/>
        <w:widowControl/>
        <w:spacing w:line="600" w:lineRule="exact"/>
        <w:ind w:left="640" w:firstLine="0" w:firstLineChars="0"/>
        <w:jc w:val="left"/>
        <w:rPr>
          <w:rFonts w:ascii="Times New Roman" w:hAnsi="Times New Roman" w:eastAsia="黑体"/>
          <w:sz w:val="32"/>
          <w:szCs w:val="32"/>
        </w:rPr>
      </w:pPr>
      <w:r>
        <w:rPr>
          <w:rFonts w:hint="eastAsia" w:ascii="Times New Roman" w:hAnsi="Times New Roman" w:eastAsia="黑体"/>
          <w:sz w:val="32"/>
          <w:szCs w:val="32"/>
        </w:rPr>
        <w:t>四、</w:t>
      </w:r>
      <w:r>
        <w:rPr>
          <w:rFonts w:ascii="Times New Roman" w:hAnsi="Times New Roman" w:eastAsia="黑体"/>
          <w:sz w:val="32"/>
          <w:szCs w:val="32"/>
        </w:rPr>
        <w:t>国有资本经营预算支出情况</w:t>
      </w:r>
    </w:p>
    <w:p>
      <w:pPr>
        <w:widowControl/>
        <w:spacing w:line="500" w:lineRule="auto"/>
        <w:ind w:firstLine="640" w:firstLineChars="200"/>
        <w:jc w:val="left"/>
        <w:rPr>
          <w:rFonts w:ascii="仿宋_GB2312" w:eastAsia="仿宋_GB2312"/>
          <w:sz w:val="32"/>
          <w:szCs w:val="32"/>
        </w:rPr>
      </w:pPr>
      <w:r>
        <w:rPr>
          <w:rFonts w:hint="eastAsia" w:ascii="仿宋_GB2312" w:eastAsia="仿宋_GB2312"/>
          <w:sz w:val="32"/>
          <w:szCs w:val="32"/>
        </w:rPr>
        <w:t>1.截至2020年12月31日，本部门无车辆，无50万元以上的专用设备。</w:t>
      </w:r>
    </w:p>
    <w:p>
      <w:pPr>
        <w:widowControl/>
        <w:spacing w:line="500" w:lineRule="auto"/>
        <w:ind w:firstLine="640" w:firstLineChars="200"/>
        <w:jc w:val="left"/>
        <w:rPr>
          <w:rFonts w:ascii="仿宋_GB2312" w:eastAsia="仿宋_GB2312"/>
          <w:sz w:val="32"/>
          <w:szCs w:val="32"/>
        </w:rPr>
      </w:pPr>
      <w:r>
        <w:rPr>
          <w:rFonts w:hint="eastAsia" w:ascii="仿宋_GB2312" w:eastAsia="仿宋_GB2312"/>
          <w:sz w:val="32"/>
          <w:szCs w:val="32"/>
        </w:rPr>
        <w:t>2.截至2020年，本部门无新增车辆，无新增50万元以上的通用设备和专用设备。</w:t>
      </w:r>
    </w:p>
    <w:p>
      <w:pPr>
        <w:pStyle w:val="10"/>
        <w:widowControl/>
        <w:spacing w:line="600" w:lineRule="exact"/>
        <w:ind w:left="640" w:firstLine="0" w:firstLineChars="0"/>
        <w:jc w:val="left"/>
        <w:rPr>
          <w:rFonts w:ascii="Times New Roman" w:hAnsi="Times New Roman" w:eastAsia="黑体"/>
          <w:sz w:val="32"/>
          <w:szCs w:val="32"/>
        </w:rPr>
      </w:pPr>
      <w:r>
        <w:rPr>
          <w:rFonts w:hint="eastAsia" w:ascii="Times New Roman" w:hAnsi="Times New Roman" w:eastAsia="黑体"/>
          <w:sz w:val="32"/>
          <w:szCs w:val="32"/>
        </w:rPr>
        <w:t>五、</w:t>
      </w:r>
      <w:r>
        <w:rPr>
          <w:rFonts w:ascii="Times New Roman" w:hAnsi="Times New Roman" w:eastAsia="黑体"/>
          <w:sz w:val="32"/>
          <w:szCs w:val="32"/>
        </w:rPr>
        <w:t>社会保险基金预算支出情况</w:t>
      </w:r>
    </w:p>
    <w:p>
      <w:pPr>
        <w:widowControl/>
        <w:spacing w:line="500" w:lineRule="auto"/>
        <w:ind w:firstLine="640" w:firstLineChars="200"/>
        <w:jc w:val="left"/>
        <w:rPr>
          <w:rFonts w:ascii="仿宋_GB2312" w:eastAsia="仿宋_GB2312"/>
          <w:sz w:val="32"/>
          <w:szCs w:val="32"/>
        </w:rPr>
      </w:pPr>
      <w:r>
        <w:rPr>
          <w:rFonts w:hint="eastAsia" w:ascii="仿宋_GB2312" w:eastAsia="仿宋_GB2312"/>
          <w:sz w:val="32"/>
          <w:szCs w:val="32"/>
        </w:rPr>
        <w:t>2020年社会保险基金预算支出为0万元，2020年无社会保险基金支出。</w:t>
      </w:r>
    </w:p>
    <w:p>
      <w:pPr>
        <w:widowControl/>
        <w:spacing w:line="600" w:lineRule="exact"/>
        <w:ind w:firstLine="645"/>
        <w:jc w:val="left"/>
        <w:rPr>
          <w:rFonts w:eastAsia="黑体"/>
          <w:sz w:val="32"/>
          <w:szCs w:val="32"/>
        </w:rPr>
      </w:pPr>
      <w:r>
        <w:rPr>
          <w:rFonts w:eastAsia="黑体"/>
          <w:sz w:val="32"/>
          <w:szCs w:val="32"/>
        </w:rPr>
        <w:t>六、部门整体支出绩效情况</w:t>
      </w:r>
    </w:p>
    <w:p>
      <w:pPr>
        <w:widowControl/>
        <w:spacing w:line="500" w:lineRule="auto"/>
        <w:ind w:firstLine="640" w:firstLineChars="200"/>
        <w:jc w:val="left"/>
        <w:rPr>
          <w:rFonts w:ascii="仿宋_GB2312" w:eastAsia="仿宋_GB2312"/>
          <w:sz w:val="32"/>
          <w:szCs w:val="32"/>
        </w:rPr>
      </w:pPr>
      <w:r>
        <w:rPr>
          <w:rFonts w:hint="eastAsia" w:eastAsia="仿宋_GB2312"/>
          <w:sz w:val="32"/>
          <w:szCs w:val="32"/>
        </w:rPr>
        <w:t>按照我区预算绩效管理工作的总体要求，</w:t>
      </w:r>
      <w:r>
        <w:rPr>
          <w:rFonts w:hint="eastAsia" w:ascii="仿宋_GB2312" w:eastAsia="仿宋_GB2312"/>
          <w:sz w:val="32"/>
          <w:szCs w:val="32"/>
        </w:rPr>
        <w:t>2020年我单位整体支出</w:t>
      </w:r>
      <w:r>
        <w:rPr>
          <w:rFonts w:hint="eastAsia" w:asciiTheme="minorEastAsia" w:hAnsiTheme="minorEastAsia"/>
          <w:sz w:val="32"/>
          <w:szCs w:val="32"/>
        </w:rPr>
        <w:t>3173.27</w:t>
      </w:r>
      <w:r>
        <w:rPr>
          <w:rFonts w:hint="eastAsia" w:ascii="仿宋_GB2312" w:eastAsia="仿宋_GB2312"/>
          <w:sz w:val="32"/>
          <w:szCs w:val="32"/>
        </w:rPr>
        <w:t>万元，全部实行整体支出绩效目标管理，编报绩效目标的项目1个，涉及项目支出14.9万元，其中专项业务费用类项目0个，共0万元，基本建设类项目0个，共0万元，对个人和家庭补助类项目0个，共0万元，产业发展引导类项目0个，共0万元，全部实行项目支出绩效目标管理。</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2020年怀化市跃进路小学申报的项目共1个</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校园安保项目，年度绩效目标为确保学校的正常运行，维护校园安全，保障各项工作的实现。</w:t>
      </w:r>
    </w:p>
    <w:p>
      <w:pPr>
        <w:pStyle w:val="10"/>
        <w:widowControl/>
        <w:spacing w:line="600" w:lineRule="exact"/>
        <w:ind w:left="640" w:firstLine="0" w:firstLineChars="0"/>
        <w:jc w:val="left"/>
        <w:rPr>
          <w:rFonts w:ascii="Times New Roman" w:hAnsi="Times New Roman" w:eastAsia="黑体"/>
          <w:sz w:val="32"/>
          <w:szCs w:val="32"/>
        </w:rPr>
      </w:pPr>
      <w:r>
        <w:rPr>
          <w:rFonts w:hint="eastAsia" w:ascii="Times New Roman" w:hAnsi="Times New Roman" w:eastAsia="黑体"/>
          <w:sz w:val="32"/>
          <w:szCs w:val="32"/>
        </w:rPr>
        <w:t>七、</w:t>
      </w:r>
      <w:r>
        <w:rPr>
          <w:rFonts w:ascii="Times New Roman" w:hAnsi="Times New Roman" w:eastAsia="黑体"/>
          <w:sz w:val="32"/>
          <w:szCs w:val="32"/>
        </w:rPr>
        <w:t>存在的问题及原因分析</w:t>
      </w:r>
    </w:p>
    <w:p>
      <w:pPr>
        <w:ind w:firstLine="640" w:firstLineChars="200"/>
        <w:rPr>
          <w:rFonts w:ascii="仿宋_GB2312" w:eastAsia="仿宋_GB2312"/>
          <w:sz w:val="32"/>
          <w:szCs w:val="32"/>
        </w:rPr>
      </w:pPr>
      <w:r>
        <w:rPr>
          <w:rFonts w:hint="eastAsia" w:ascii="仿宋_GB2312" w:eastAsia="仿宋_GB2312"/>
          <w:sz w:val="32"/>
          <w:szCs w:val="32"/>
        </w:rPr>
        <w:t>本年度绩效目标未存在偏离，但在执行过程中还存在下列问题：</w:t>
      </w:r>
    </w:p>
    <w:p>
      <w:pPr>
        <w:ind w:firstLine="640" w:firstLineChars="200"/>
        <w:rPr>
          <w:rFonts w:ascii="仿宋_GB2312" w:eastAsia="仿宋_GB2312"/>
          <w:sz w:val="32"/>
          <w:szCs w:val="32"/>
        </w:rPr>
      </w:pPr>
      <w:r>
        <w:rPr>
          <w:rFonts w:hint="eastAsia" w:ascii="仿宋_GB2312" w:eastAsia="仿宋_GB2312"/>
          <w:sz w:val="32"/>
          <w:szCs w:val="32"/>
        </w:rPr>
        <w:t>绩效目标的设定需要各个部门分解汇总，全员参与，相互协调，学校对绩效评价还未建立全员参与的意识，部分绩效目标无法量化。</w:t>
      </w:r>
    </w:p>
    <w:p>
      <w:pPr>
        <w:widowControl/>
        <w:spacing w:line="600" w:lineRule="exact"/>
        <w:ind w:firstLine="640" w:firstLineChars="200"/>
        <w:jc w:val="left"/>
        <w:rPr>
          <w:rFonts w:eastAsia="黑体"/>
          <w:sz w:val="32"/>
          <w:szCs w:val="32"/>
        </w:rPr>
      </w:pPr>
      <w:r>
        <w:rPr>
          <w:rFonts w:eastAsia="黑体"/>
          <w:sz w:val="32"/>
          <w:szCs w:val="32"/>
        </w:rPr>
        <w:t>八、下一步改进措施</w:t>
      </w:r>
    </w:p>
    <w:p>
      <w:pPr>
        <w:ind w:firstLine="1280" w:firstLineChars="400"/>
        <w:rPr>
          <w:rFonts w:eastAsia="黑体"/>
          <w:sz w:val="32"/>
          <w:szCs w:val="32"/>
        </w:rPr>
      </w:pPr>
      <w:r>
        <w:rPr>
          <w:rFonts w:hint="eastAsia" w:ascii="仿宋_GB2312" w:eastAsia="仿宋_GB2312"/>
          <w:sz w:val="32"/>
          <w:szCs w:val="32"/>
        </w:rPr>
        <w:t>进一步提高绩效目标评价意识和方法，细化财务管理。</w:t>
      </w:r>
    </w:p>
    <w:p>
      <w:pPr>
        <w:widowControl/>
        <w:spacing w:line="600" w:lineRule="exact"/>
        <w:ind w:firstLine="645"/>
        <w:jc w:val="left"/>
        <w:rPr>
          <w:rFonts w:eastAsia="黑体"/>
          <w:sz w:val="32"/>
          <w:szCs w:val="32"/>
        </w:rPr>
      </w:pPr>
      <w:r>
        <w:rPr>
          <w:rFonts w:eastAsia="黑体"/>
          <w:sz w:val="32"/>
          <w:szCs w:val="32"/>
        </w:rPr>
        <w:t>九、其他需要说明的情况</w:t>
      </w:r>
    </w:p>
    <w:p>
      <w:pPr>
        <w:widowControl/>
        <w:spacing w:line="600" w:lineRule="exact"/>
        <w:ind w:firstLine="645"/>
        <w:jc w:val="left"/>
        <w:rPr>
          <w:rFonts w:cs="黑体" w:asciiTheme="minorEastAsia" w:hAnsiTheme="minorEastAsia"/>
          <w:color w:val="000000"/>
          <w:kern w:val="0"/>
          <w:sz w:val="32"/>
          <w:szCs w:val="32"/>
        </w:rPr>
      </w:pPr>
      <w:r>
        <w:rPr>
          <w:rFonts w:hint="eastAsia" w:eastAsia="仿宋_GB2312"/>
          <w:sz w:val="32"/>
          <w:szCs w:val="32"/>
        </w:rPr>
        <w:t>无</w:t>
      </w:r>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YzMyYzQ1MTU5N2I1MzRjYTE4MDEzNTczN2NhMzNjZDQifQ=="/>
  </w:docVars>
  <w:rsids>
    <w:rsidRoot w:val="004506F9"/>
    <w:rsid w:val="0002229B"/>
    <w:rsid w:val="000273BD"/>
    <w:rsid w:val="000415B7"/>
    <w:rsid w:val="00041E3F"/>
    <w:rsid w:val="00055DAA"/>
    <w:rsid w:val="00061F7B"/>
    <w:rsid w:val="000658A3"/>
    <w:rsid w:val="00074155"/>
    <w:rsid w:val="000A3F69"/>
    <w:rsid w:val="000F29C5"/>
    <w:rsid w:val="00103957"/>
    <w:rsid w:val="00152C6D"/>
    <w:rsid w:val="00153ED0"/>
    <w:rsid w:val="00162D39"/>
    <w:rsid w:val="001678BD"/>
    <w:rsid w:val="001A5BFC"/>
    <w:rsid w:val="001A67DB"/>
    <w:rsid w:val="001C3C29"/>
    <w:rsid w:val="001D51E5"/>
    <w:rsid w:val="001E080D"/>
    <w:rsid w:val="001E53D0"/>
    <w:rsid w:val="001F0C3B"/>
    <w:rsid w:val="00202C82"/>
    <w:rsid w:val="00214427"/>
    <w:rsid w:val="00226CB7"/>
    <w:rsid w:val="00264552"/>
    <w:rsid w:val="00264EF9"/>
    <w:rsid w:val="00265724"/>
    <w:rsid w:val="0027426B"/>
    <w:rsid w:val="002B1C51"/>
    <w:rsid w:val="002E0A30"/>
    <w:rsid w:val="003130C4"/>
    <w:rsid w:val="00316C4B"/>
    <w:rsid w:val="0032192B"/>
    <w:rsid w:val="0033364B"/>
    <w:rsid w:val="003479BD"/>
    <w:rsid w:val="003638D8"/>
    <w:rsid w:val="0037197D"/>
    <w:rsid w:val="003768D5"/>
    <w:rsid w:val="003838D5"/>
    <w:rsid w:val="003C47E6"/>
    <w:rsid w:val="003C4FC2"/>
    <w:rsid w:val="003E307E"/>
    <w:rsid w:val="00416E61"/>
    <w:rsid w:val="0042790C"/>
    <w:rsid w:val="00440743"/>
    <w:rsid w:val="004506F9"/>
    <w:rsid w:val="004717A2"/>
    <w:rsid w:val="00473DF3"/>
    <w:rsid w:val="004778C0"/>
    <w:rsid w:val="00487911"/>
    <w:rsid w:val="00491741"/>
    <w:rsid w:val="004C7EFB"/>
    <w:rsid w:val="004D0771"/>
    <w:rsid w:val="00500E5F"/>
    <w:rsid w:val="005122EF"/>
    <w:rsid w:val="0051441A"/>
    <w:rsid w:val="00517C33"/>
    <w:rsid w:val="00523644"/>
    <w:rsid w:val="0054069E"/>
    <w:rsid w:val="00544866"/>
    <w:rsid w:val="0056602C"/>
    <w:rsid w:val="005767CC"/>
    <w:rsid w:val="00590C79"/>
    <w:rsid w:val="00590D9F"/>
    <w:rsid w:val="00595D26"/>
    <w:rsid w:val="005A74E6"/>
    <w:rsid w:val="005B404E"/>
    <w:rsid w:val="005D4D55"/>
    <w:rsid w:val="005D5A2B"/>
    <w:rsid w:val="005E2CFB"/>
    <w:rsid w:val="005F3D1C"/>
    <w:rsid w:val="00612938"/>
    <w:rsid w:val="0062378F"/>
    <w:rsid w:val="00641842"/>
    <w:rsid w:val="00651EEC"/>
    <w:rsid w:val="00665DD5"/>
    <w:rsid w:val="00691E8C"/>
    <w:rsid w:val="006A22C4"/>
    <w:rsid w:val="006A351B"/>
    <w:rsid w:val="006B0422"/>
    <w:rsid w:val="006B11AE"/>
    <w:rsid w:val="006C1B53"/>
    <w:rsid w:val="006D7730"/>
    <w:rsid w:val="006E5284"/>
    <w:rsid w:val="006F3EB5"/>
    <w:rsid w:val="00702E34"/>
    <w:rsid w:val="00704395"/>
    <w:rsid w:val="00712D99"/>
    <w:rsid w:val="00717621"/>
    <w:rsid w:val="00720FF1"/>
    <w:rsid w:val="0072318D"/>
    <w:rsid w:val="00727A53"/>
    <w:rsid w:val="00787B42"/>
    <w:rsid w:val="007A6E70"/>
    <w:rsid w:val="007C4539"/>
    <w:rsid w:val="007C7293"/>
    <w:rsid w:val="007D5CB9"/>
    <w:rsid w:val="007F3657"/>
    <w:rsid w:val="00800CA4"/>
    <w:rsid w:val="00812ED5"/>
    <w:rsid w:val="008277D9"/>
    <w:rsid w:val="0084478C"/>
    <w:rsid w:val="00860E0B"/>
    <w:rsid w:val="0086638C"/>
    <w:rsid w:val="008A3E8D"/>
    <w:rsid w:val="009237C4"/>
    <w:rsid w:val="00944C48"/>
    <w:rsid w:val="00950252"/>
    <w:rsid w:val="00967F5D"/>
    <w:rsid w:val="00971979"/>
    <w:rsid w:val="009A0F95"/>
    <w:rsid w:val="009B3ADF"/>
    <w:rsid w:val="009C3B52"/>
    <w:rsid w:val="009E6817"/>
    <w:rsid w:val="009E6E9A"/>
    <w:rsid w:val="00A01D2B"/>
    <w:rsid w:val="00A12FA2"/>
    <w:rsid w:val="00A42218"/>
    <w:rsid w:val="00A57845"/>
    <w:rsid w:val="00A70249"/>
    <w:rsid w:val="00A70B02"/>
    <w:rsid w:val="00A71D9F"/>
    <w:rsid w:val="00A7208A"/>
    <w:rsid w:val="00A841DF"/>
    <w:rsid w:val="00A92E9F"/>
    <w:rsid w:val="00AA7F1A"/>
    <w:rsid w:val="00AD05A3"/>
    <w:rsid w:val="00B33BEA"/>
    <w:rsid w:val="00B57C9F"/>
    <w:rsid w:val="00B63572"/>
    <w:rsid w:val="00B649CB"/>
    <w:rsid w:val="00B845B3"/>
    <w:rsid w:val="00B85D8B"/>
    <w:rsid w:val="00BB4A40"/>
    <w:rsid w:val="00BD6C3E"/>
    <w:rsid w:val="00BE3674"/>
    <w:rsid w:val="00C05E7E"/>
    <w:rsid w:val="00C10681"/>
    <w:rsid w:val="00C3049A"/>
    <w:rsid w:val="00C31B1E"/>
    <w:rsid w:val="00C57A35"/>
    <w:rsid w:val="00C77645"/>
    <w:rsid w:val="00CC61BA"/>
    <w:rsid w:val="00CE04C3"/>
    <w:rsid w:val="00CE76A0"/>
    <w:rsid w:val="00D0242F"/>
    <w:rsid w:val="00D029F0"/>
    <w:rsid w:val="00D148C6"/>
    <w:rsid w:val="00D17A8A"/>
    <w:rsid w:val="00D415BA"/>
    <w:rsid w:val="00D644EE"/>
    <w:rsid w:val="00DB09ED"/>
    <w:rsid w:val="00DD06FF"/>
    <w:rsid w:val="00DD5FE9"/>
    <w:rsid w:val="00E00C7A"/>
    <w:rsid w:val="00E15826"/>
    <w:rsid w:val="00E37D6C"/>
    <w:rsid w:val="00E429F3"/>
    <w:rsid w:val="00E55B68"/>
    <w:rsid w:val="00E67BE6"/>
    <w:rsid w:val="00E8683C"/>
    <w:rsid w:val="00EA2B72"/>
    <w:rsid w:val="00F74360"/>
    <w:rsid w:val="00FB462F"/>
    <w:rsid w:val="00FE16FA"/>
    <w:rsid w:val="00FE328A"/>
    <w:rsid w:val="00FE6269"/>
    <w:rsid w:val="023A2AE8"/>
    <w:rsid w:val="02AD11C1"/>
    <w:rsid w:val="032C4B18"/>
    <w:rsid w:val="047407F3"/>
    <w:rsid w:val="04E614C1"/>
    <w:rsid w:val="20EA7F6F"/>
    <w:rsid w:val="237B12A6"/>
    <w:rsid w:val="24575B80"/>
    <w:rsid w:val="28DB55B4"/>
    <w:rsid w:val="2C1710D8"/>
    <w:rsid w:val="2D712D64"/>
    <w:rsid w:val="2D924BFD"/>
    <w:rsid w:val="2E93447D"/>
    <w:rsid w:val="3A6E0ADF"/>
    <w:rsid w:val="4BCC2697"/>
    <w:rsid w:val="4E936628"/>
    <w:rsid w:val="5C3E43C0"/>
    <w:rsid w:val="5EDE295D"/>
    <w:rsid w:val="5EE4395B"/>
    <w:rsid w:val="667754A8"/>
    <w:rsid w:val="671D1ADD"/>
    <w:rsid w:val="6940624F"/>
    <w:rsid w:val="6EA33A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paragraph" w:customStyle="1" w:styleId="9">
    <w:name w:val="Default"/>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8E8E99-0876-4457-84BE-74A901AF77D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16</Pages>
  <Words>4640</Words>
  <Characters>5133</Characters>
  <Lines>38</Lines>
  <Paragraphs>10</Paragraphs>
  <TotalTime>1</TotalTime>
  <ScaleCrop>false</ScaleCrop>
  <LinksUpToDate>false</LinksUpToDate>
  <CharactersWithSpaces>5138</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2021-10-11T03:05:00Z</dcterms:created>
  <dc:creator>李航 null</dc:creator>
  <cp:lastModifiedBy>oyss</cp:lastModifiedBy>
  <cp:lastPrinted>2021-07-28T00:12:00Z</cp:lastPrinted>
  <dcterms:modified xsi:type="dcterms:W3CDTF">2022-09-02T08:00:56Z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F4203392B04043B29CA0D28C9D8D7C68</vt:lpwstr>
  </property>
</Properties>
</file>