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20C" w:rsidRDefault="00B3420C">
      <w:pPr>
        <w:pStyle w:val="Default"/>
        <w:jc w:val="center"/>
        <w:rPr>
          <w:sz w:val="56"/>
          <w:szCs w:val="56"/>
        </w:rPr>
      </w:pPr>
    </w:p>
    <w:p w:rsidR="00B3420C" w:rsidRDefault="00B3420C">
      <w:pPr>
        <w:pStyle w:val="Default"/>
        <w:jc w:val="center"/>
        <w:rPr>
          <w:sz w:val="56"/>
          <w:szCs w:val="56"/>
        </w:rPr>
      </w:pPr>
    </w:p>
    <w:p w:rsidR="00B3420C" w:rsidRDefault="00B3420C">
      <w:pPr>
        <w:pStyle w:val="Default"/>
        <w:jc w:val="center"/>
        <w:rPr>
          <w:sz w:val="84"/>
          <w:szCs w:val="84"/>
        </w:rPr>
      </w:pPr>
    </w:p>
    <w:p w:rsidR="00B3420C" w:rsidRDefault="00B3420C">
      <w:pPr>
        <w:pStyle w:val="Default"/>
        <w:jc w:val="center"/>
        <w:rPr>
          <w:sz w:val="84"/>
          <w:szCs w:val="84"/>
        </w:rPr>
      </w:pPr>
    </w:p>
    <w:p w:rsidR="00B3420C" w:rsidRDefault="00D359B8">
      <w:pPr>
        <w:pStyle w:val="Default"/>
        <w:jc w:val="center"/>
        <w:rPr>
          <w:sz w:val="84"/>
          <w:szCs w:val="84"/>
        </w:rPr>
      </w:pPr>
      <w:r>
        <w:rPr>
          <w:rFonts w:hint="eastAsia"/>
          <w:sz w:val="84"/>
          <w:szCs w:val="84"/>
        </w:rPr>
        <w:t>2020年度</w:t>
      </w:r>
    </w:p>
    <w:p w:rsidR="00B3420C" w:rsidRDefault="00D359B8">
      <w:pPr>
        <w:pStyle w:val="Default"/>
        <w:jc w:val="center"/>
        <w:rPr>
          <w:sz w:val="84"/>
          <w:szCs w:val="84"/>
        </w:rPr>
      </w:pPr>
      <w:r>
        <w:rPr>
          <w:rFonts w:hint="eastAsia"/>
          <w:sz w:val="84"/>
          <w:szCs w:val="84"/>
        </w:rPr>
        <w:t>区科学技术协会决算</w:t>
      </w:r>
    </w:p>
    <w:p w:rsidR="00B3420C" w:rsidRDefault="00B3420C">
      <w:pPr>
        <w:pStyle w:val="Default"/>
        <w:jc w:val="center"/>
        <w:rPr>
          <w:sz w:val="56"/>
          <w:szCs w:val="56"/>
        </w:rPr>
      </w:pPr>
    </w:p>
    <w:p w:rsidR="00B3420C" w:rsidRDefault="00B3420C">
      <w:pPr>
        <w:pStyle w:val="Default"/>
        <w:jc w:val="center"/>
        <w:rPr>
          <w:sz w:val="56"/>
          <w:szCs w:val="56"/>
        </w:rPr>
      </w:pPr>
    </w:p>
    <w:p w:rsidR="00B3420C" w:rsidRDefault="00B3420C">
      <w:pPr>
        <w:pStyle w:val="Default"/>
        <w:jc w:val="center"/>
        <w:rPr>
          <w:sz w:val="56"/>
          <w:szCs w:val="56"/>
        </w:rPr>
      </w:pPr>
    </w:p>
    <w:p w:rsidR="00B3420C" w:rsidRDefault="00B3420C">
      <w:pPr>
        <w:pStyle w:val="Default"/>
        <w:jc w:val="center"/>
        <w:rPr>
          <w:sz w:val="56"/>
          <w:szCs w:val="56"/>
        </w:rPr>
      </w:pPr>
    </w:p>
    <w:p w:rsidR="00B3420C" w:rsidRDefault="00B3420C">
      <w:pPr>
        <w:pStyle w:val="Default"/>
        <w:jc w:val="center"/>
        <w:rPr>
          <w:sz w:val="32"/>
          <w:szCs w:val="32"/>
        </w:rPr>
      </w:pPr>
    </w:p>
    <w:p w:rsidR="00B3420C" w:rsidRDefault="00B3420C">
      <w:pPr>
        <w:pStyle w:val="Default"/>
        <w:jc w:val="center"/>
        <w:rPr>
          <w:sz w:val="32"/>
          <w:szCs w:val="32"/>
        </w:rPr>
      </w:pPr>
    </w:p>
    <w:p w:rsidR="00B3420C" w:rsidRDefault="00B3420C">
      <w:pPr>
        <w:pStyle w:val="Default"/>
        <w:jc w:val="center"/>
        <w:rPr>
          <w:sz w:val="32"/>
          <w:szCs w:val="32"/>
        </w:rPr>
      </w:pPr>
    </w:p>
    <w:p w:rsidR="00B3420C" w:rsidRDefault="00B3420C">
      <w:pPr>
        <w:pStyle w:val="Default"/>
        <w:jc w:val="center"/>
        <w:rPr>
          <w:sz w:val="32"/>
          <w:szCs w:val="32"/>
        </w:rPr>
      </w:pPr>
    </w:p>
    <w:p w:rsidR="00B3420C" w:rsidRDefault="00B3420C">
      <w:pPr>
        <w:pStyle w:val="Default"/>
        <w:jc w:val="center"/>
        <w:rPr>
          <w:sz w:val="32"/>
          <w:szCs w:val="32"/>
        </w:rPr>
      </w:pPr>
    </w:p>
    <w:p w:rsidR="00B3420C" w:rsidRDefault="00B3420C">
      <w:pPr>
        <w:pStyle w:val="Default"/>
        <w:spacing w:line="540" w:lineRule="exact"/>
        <w:jc w:val="center"/>
        <w:rPr>
          <w:sz w:val="56"/>
          <w:szCs w:val="56"/>
        </w:rPr>
      </w:pPr>
    </w:p>
    <w:p w:rsidR="00B3420C" w:rsidRDefault="00B3420C">
      <w:pPr>
        <w:pStyle w:val="Default"/>
        <w:spacing w:line="500" w:lineRule="exact"/>
        <w:jc w:val="center"/>
        <w:rPr>
          <w:b/>
          <w:sz w:val="36"/>
          <w:szCs w:val="28"/>
        </w:rPr>
      </w:pPr>
    </w:p>
    <w:p w:rsidR="00B3420C" w:rsidRDefault="00B3420C">
      <w:pPr>
        <w:pStyle w:val="Default"/>
        <w:spacing w:line="500" w:lineRule="exact"/>
        <w:jc w:val="center"/>
        <w:rPr>
          <w:b/>
          <w:sz w:val="36"/>
          <w:szCs w:val="28"/>
        </w:rPr>
      </w:pPr>
    </w:p>
    <w:p w:rsidR="00B3420C" w:rsidRDefault="00D359B8">
      <w:pPr>
        <w:pStyle w:val="Default"/>
        <w:spacing w:line="500" w:lineRule="exact"/>
        <w:jc w:val="center"/>
        <w:rPr>
          <w:b/>
          <w:sz w:val="36"/>
          <w:szCs w:val="28"/>
        </w:rPr>
      </w:pPr>
      <w:r>
        <w:rPr>
          <w:rFonts w:hint="eastAsia"/>
          <w:b/>
          <w:sz w:val="36"/>
          <w:szCs w:val="28"/>
        </w:rPr>
        <w:lastRenderedPageBreak/>
        <w:t>目录</w:t>
      </w:r>
    </w:p>
    <w:p w:rsidR="00B3420C" w:rsidRDefault="00D359B8">
      <w:pPr>
        <w:pStyle w:val="Default"/>
        <w:spacing w:line="500" w:lineRule="exact"/>
        <w:rPr>
          <w:rFonts w:ascii="仿宋_GB2312" w:hAnsi="仿宋_GB2312" w:cs="仿宋_GB2312"/>
          <w:b/>
          <w:sz w:val="28"/>
          <w:szCs w:val="28"/>
        </w:rPr>
      </w:pPr>
      <w:r>
        <w:rPr>
          <w:rFonts w:hint="eastAsia"/>
          <w:b/>
          <w:sz w:val="28"/>
          <w:szCs w:val="28"/>
        </w:rPr>
        <w:t>第一部分单位概况</w:t>
      </w:r>
    </w:p>
    <w:p w:rsidR="00B3420C" w:rsidRDefault="00D359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B3420C" w:rsidRDefault="00D359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B3420C" w:rsidRDefault="00D359B8">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20年度部门决算表</w:t>
      </w:r>
    </w:p>
    <w:p w:rsidR="00B3420C" w:rsidRDefault="00D359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B3420C" w:rsidRDefault="00D359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B3420C" w:rsidRDefault="00D359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B3420C" w:rsidRDefault="00D359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B3420C" w:rsidRDefault="00D359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B3420C" w:rsidRDefault="00D359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B3420C" w:rsidRDefault="00D359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B3420C" w:rsidRDefault="00D359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B3420C" w:rsidRDefault="00D359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B3420C" w:rsidRDefault="00D359B8">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20年度部门决算情况说明</w:t>
      </w:r>
    </w:p>
    <w:p w:rsidR="00B3420C" w:rsidRDefault="00D359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B3420C" w:rsidRDefault="00D359B8">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B3420C" w:rsidRDefault="00D359B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B3420C" w:rsidRDefault="00D359B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B3420C" w:rsidRDefault="00D359B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B3420C" w:rsidRDefault="00D359B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B3420C" w:rsidRDefault="00D359B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B3420C" w:rsidRDefault="00D359B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B3420C" w:rsidRDefault="00D359B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B3420C" w:rsidRDefault="00D359B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B3420C" w:rsidRDefault="00D359B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B3420C" w:rsidRDefault="00D359B8">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B3420C" w:rsidRDefault="00D359B8">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于2020年</w:t>
      </w:r>
      <w:r>
        <w:rPr>
          <w:rFonts w:ascii="仿宋_GB2312" w:eastAsiaTheme="minorEastAsia" w:hAnsi="仿宋_GB2312" w:cs="仿宋_GB2312" w:hint="eastAsia"/>
          <w:sz w:val="28"/>
          <w:szCs w:val="28"/>
        </w:rPr>
        <w:t>度预算绩效情况的说明</w:t>
      </w:r>
    </w:p>
    <w:p w:rsidR="00B3420C" w:rsidRDefault="00D359B8">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B3420C" w:rsidRDefault="00D359B8">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B3420C" w:rsidRDefault="00B3420C">
      <w:pPr>
        <w:jc w:val="center"/>
        <w:rPr>
          <w:sz w:val="72"/>
          <w:szCs w:val="72"/>
        </w:rPr>
      </w:pPr>
    </w:p>
    <w:p w:rsidR="00B3420C" w:rsidRDefault="00B3420C">
      <w:pPr>
        <w:jc w:val="center"/>
        <w:rPr>
          <w:sz w:val="72"/>
          <w:szCs w:val="72"/>
        </w:rPr>
      </w:pPr>
    </w:p>
    <w:p w:rsidR="00B3420C" w:rsidRDefault="00B3420C">
      <w:pPr>
        <w:jc w:val="center"/>
        <w:rPr>
          <w:sz w:val="72"/>
          <w:szCs w:val="72"/>
        </w:rPr>
      </w:pPr>
    </w:p>
    <w:p w:rsidR="00B3420C" w:rsidRDefault="00B3420C">
      <w:pPr>
        <w:jc w:val="center"/>
        <w:rPr>
          <w:sz w:val="72"/>
          <w:szCs w:val="72"/>
        </w:rPr>
      </w:pPr>
    </w:p>
    <w:p w:rsidR="00B3420C" w:rsidRDefault="00B3420C">
      <w:pPr>
        <w:rPr>
          <w:sz w:val="72"/>
          <w:szCs w:val="72"/>
        </w:rPr>
      </w:pPr>
    </w:p>
    <w:p w:rsidR="00B3420C" w:rsidRDefault="00D359B8">
      <w:pPr>
        <w:pStyle w:val="Default"/>
        <w:jc w:val="center"/>
        <w:rPr>
          <w:sz w:val="84"/>
          <w:szCs w:val="84"/>
        </w:rPr>
      </w:pPr>
      <w:r>
        <w:rPr>
          <w:rFonts w:hint="eastAsia"/>
          <w:sz w:val="84"/>
          <w:szCs w:val="84"/>
        </w:rPr>
        <w:t>第一部分</w:t>
      </w:r>
    </w:p>
    <w:p w:rsidR="00B3420C" w:rsidRDefault="00B3420C">
      <w:pPr>
        <w:pStyle w:val="Default"/>
        <w:jc w:val="center"/>
        <w:rPr>
          <w:sz w:val="84"/>
          <w:szCs w:val="84"/>
        </w:rPr>
      </w:pPr>
    </w:p>
    <w:p w:rsidR="00B3420C" w:rsidRDefault="00D359B8">
      <w:pPr>
        <w:pStyle w:val="Default"/>
        <w:jc w:val="center"/>
        <w:rPr>
          <w:sz w:val="84"/>
          <w:szCs w:val="84"/>
        </w:rPr>
      </w:pPr>
      <w:r>
        <w:rPr>
          <w:rFonts w:hint="eastAsia"/>
          <w:sz w:val="84"/>
          <w:szCs w:val="84"/>
        </w:rPr>
        <w:t>区科学技术协会单位概况</w:t>
      </w:r>
    </w:p>
    <w:p w:rsidR="00B3420C" w:rsidRDefault="00B3420C">
      <w:pPr>
        <w:jc w:val="center"/>
        <w:rPr>
          <w:sz w:val="72"/>
          <w:szCs w:val="72"/>
        </w:rPr>
      </w:pPr>
    </w:p>
    <w:p w:rsidR="00B3420C" w:rsidRDefault="00B3420C">
      <w:pPr>
        <w:jc w:val="center"/>
        <w:rPr>
          <w:sz w:val="72"/>
          <w:szCs w:val="72"/>
        </w:rPr>
      </w:pPr>
    </w:p>
    <w:p w:rsidR="00B3420C" w:rsidRDefault="00B3420C">
      <w:pPr>
        <w:jc w:val="center"/>
        <w:rPr>
          <w:sz w:val="72"/>
          <w:szCs w:val="72"/>
        </w:rPr>
      </w:pPr>
    </w:p>
    <w:p w:rsidR="00B3420C" w:rsidRDefault="00B3420C">
      <w:pPr>
        <w:jc w:val="center"/>
        <w:rPr>
          <w:sz w:val="72"/>
          <w:szCs w:val="72"/>
        </w:rPr>
      </w:pPr>
    </w:p>
    <w:p w:rsidR="00B3420C" w:rsidRDefault="00B3420C">
      <w:pPr>
        <w:jc w:val="center"/>
        <w:rPr>
          <w:sz w:val="72"/>
          <w:szCs w:val="72"/>
        </w:rPr>
      </w:pPr>
    </w:p>
    <w:p w:rsidR="00B3420C" w:rsidRDefault="00B3420C">
      <w:pPr>
        <w:pStyle w:val="a6"/>
        <w:ind w:left="720" w:firstLineChars="0" w:firstLine="0"/>
        <w:jc w:val="left"/>
        <w:rPr>
          <w:rFonts w:ascii="黑体" w:eastAsia="黑体" w:hAnsi="黑体"/>
          <w:sz w:val="32"/>
          <w:szCs w:val="32"/>
        </w:rPr>
      </w:pPr>
    </w:p>
    <w:p w:rsidR="00B3420C" w:rsidRDefault="00B3420C">
      <w:pPr>
        <w:pStyle w:val="a6"/>
        <w:ind w:left="720" w:firstLineChars="0" w:firstLine="0"/>
        <w:jc w:val="left"/>
        <w:rPr>
          <w:rFonts w:ascii="黑体" w:eastAsia="黑体" w:hAnsi="黑体"/>
          <w:sz w:val="32"/>
          <w:szCs w:val="32"/>
        </w:rPr>
      </w:pPr>
    </w:p>
    <w:p w:rsidR="00B3420C" w:rsidRDefault="00B3420C">
      <w:pPr>
        <w:pStyle w:val="a6"/>
        <w:ind w:left="720" w:firstLineChars="0" w:firstLine="0"/>
        <w:jc w:val="left"/>
        <w:rPr>
          <w:rFonts w:ascii="黑体" w:eastAsia="黑体" w:hAnsi="黑体"/>
          <w:sz w:val="32"/>
          <w:szCs w:val="32"/>
        </w:rPr>
      </w:pPr>
    </w:p>
    <w:p w:rsidR="00B3420C" w:rsidRDefault="00D359B8">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B3420C" w:rsidRDefault="00D359B8">
      <w:pPr>
        <w:ind w:firstLineChars="200" w:firstLine="640"/>
        <w:jc w:val="left"/>
        <w:rPr>
          <w:rFonts w:ascii="仿宋_GB2312" w:eastAsia="仿宋_GB2312" w:hAnsiTheme="minorEastAsia"/>
          <w:sz w:val="28"/>
          <w:szCs w:val="32"/>
        </w:rPr>
      </w:pPr>
      <w:r>
        <w:rPr>
          <w:rFonts w:asciiTheme="minorEastAsia" w:hAnsiTheme="minorEastAsia" w:hint="eastAsia"/>
          <w:bCs/>
          <w:kern w:val="0"/>
          <w:sz w:val="32"/>
          <w:szCs w:val="32"/>
        </w:rPr>
        <w:t>科协主要工作职责是为科技工作者服务、为创新驱动发展服务、为提高全民科学素质服务、为党和政府科学决策服务，推动开放型、枢纽型、平台型科协组织建设，团结引领广大科技工作者积极进军科技创新，组织开展创新争先行动，促进科技繁荣发展，促进科学普及和推广。</w:t>
      </w:r>
    </w:p>
    <w:p w:rsidR="00B3420C" w:rsidRDefault="00D359B8">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B3420C" w:rsidRDefault="00D359B8">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（一）内设机构设置。科协内设机构包括：内设2个股室，分别为：办公室、科学普及与学会部。科协二级机构2个：科普益民和惠农服务站、科技咨询服务中心。（其中科技咨询服务中心为自收自支单位。）</w:t>
      </w:r>
    </w:p>
    <w:p w:rsidR="00B3420C" w:rsidRDefault="00D359B8">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科协现有编制数7名（其中：行政编制5名，事业编制2名）。年末实有在职人员6人，离退休人员5人(其中提前退休1人，因退休人员工资全部在社保基金在反映，因此，提前退休1人视同在职人员，在在职人员工资中反映，其余正式退休4人在机关社保发放退休工资)。</w:t>
      </w:r>
    </w:p>
    <w:p w:rsidR="00B3420C" w:rsidRDefault="00D359B8">
      <w:pPr>
        <w:ind w:firstLineChars="200" w:firstLine="640"/>
        <w:jc w:val="left"/>
        <w:rPr>
          <w:rFonts w:ascii="仿宋_GB2312" w:eastAsia="仿宋_GB2312" w:hAnsiTheme="minorEastAsia"/>
          <w:sz w:val="28"/>
          <w:szCs w:val="32"/>
        </w:rPr>
      </w:pPr>
      <w:r>
        <w:rPr>
          <w:rFonts w:asciiTheme="minorEastAsia" w:hAnsiTheme="minorEastAsia" w:hint="eastAsia"/>
          <w:bCs/>
          <w:kern w:val="0"/>
          <w:sz w:val="32"/>
          <w:szCs w:val="32"/>
        </w:rPr>
        <w:t>（二）决算单位构成。科协</w:t>
      </w:r>
      <w:r>
        <w:rPr>
          <w:rFonts w:asciiTheme="minorEastAsia" w:hAnsiTheme="minorEastAsia"/>
          <w:bCs/>
          <w:kern w:val="0"/>
          <w:sz w:val="32"/>
          <w:szCs w:val="32"/>
        </w:rPr>
        <w:t>20</w:t>
      </w:r>
      <w:r>
        <w:rPr>
          <w:rFonts w:asciiTheme="minorEastAsia" w:hAnsiTheme="minorEastAsia" w:hint="eastAsia"/>
          <w:bCs/>
          <w:kern w:val="0"/>
          <w:sz w:val="32"/>
          <w:szCs w:val="32"/>
        </w:rPr>
        <w:t>20年部门决算汇总公开单位构成包括：科协单位本级。</w:t>
      </w:r>
    </w:p>
    <w:p w:rsidR="00B3420C" w:rsidRDefault="00B3420C">
      <w:pPr>
        <w:jc w:val="center"/>
        <w:rPr>
          <w:rFonts w:ascii="黑体" w:eastAsia="黑体" w:hAnsi="黑体"/>
          <w:sz w:val="28"/>
          <w:szCs w:val="28"/>
        </w:rPr>
      </w:pPr>
    </w:p>
    <w:p w:rsidR="00B3420C" w:rsidRDefault="00B3420C">
      <w:pPr>
        <w:jc w:val="center"/>
        <w:rPr>
          <w:rFonts w:ascii="黑体" w:eastAsia="黑体" w:hAnsi="黑体"/>
          <w:sz w:val="28"/>
          <w:szCs w:val="28"/>
        </w:rPr>
      </w:pPr>
    </w:p>
    <w:p w:rsidR="00B3420C" w:rsidRDefault="00B3420C">
      <w:pPr>
        <w:jc w:val="center"/>
        <w:rPr>
          <w:rFonts w:ascii="黑体" w:eastAsia="黑体" w:hAnsi="黑体"/>
          <w:sz w:val="28"/>
          <w:szCs w:val="28"/>
        </w:rPr>
      </w:pPr>
    </w:p>
    <w:p w:rsidR="00B3420C" w:rsidRDefault="00B3420C">
      <w:pPr>
        <w:jc w:val="center"/>
        <w:rPr>
          <w:rFonts w:ascii="黑体" w:eastAsia="黑体" w:hAnsi="黑体"/>
          <w:sz w:val="28"/>
          <w:szCs w:val="28"/>
        </w:rPr>
      </w:pPr>
    </w:p>
    <w:p w:rsidR="00B3420C" w:rsidRDefault="00B3420C">
      <w:pPr>
        <w:jc w:val="center"/>
        <w:rPr>
          <w:rFonts w:ascii="黑体" w:eastAsia="黑体" w:hAnsi="黑体"/>
          <w:sz w:val="28"/>
          <w:szCs w:val="28"/>
        </w:rPr>
      </w:pPr>
    </w:p>
    <w:p w:rsidR="00B3420C" w:rsidRDefault="00B3420C">
      <w:pPr>
        <w:jc w:val="center"/>
        <w:rPr>
          <w:rFonts w:ascii="黑体" w:eastAsia="黑体" w:hAnsi="黑体"/>
          <w:sz w:val="28"/>
          <w:szCs w:val="28"/>
        </w:rPr>
      </w:pPr>
    </w:p>
    <w:p w:rsidR="00B3420C" w:rsidRDefault="00B3420C">
      <w:pPr>
        <w:jc w:val="center"/>
        <w:rPr>
          <w:rFonts w:ascii="黑体" w:eastAsia="黑体" w:hAnsi="黑体"/>
          <w:sz w:val="28"/>
          <w:szCs w:val="28"/>
        </w:rPr>
      </w:pPr>
    </w:p>
    <w:p w:rsidR="00B3420C" w:rsidRDefault="00B3420C">
      <w:pPr>
        <w:jc w:val="center"/>
        <w:rPr>
          <w:rFonts w:ascii="黑体" w:eastAsia="黑体" w:hAnsi="黑体"/>
          <w:sz w:val="28"/>
          <w:szCs w:val="28"/>
        </w:rPr>
      </w:pPr>
    </w:p>
    <w:p w:rsidR="00B3420C" w:rsidRDefault="00B3420C">
      <w:pPr>
        <w:jc w:val="center"/>
        <w:rPr>
          <w:rFonts w:ascii="黑体" w:eastAsia="黑体" w:hAnsi="黑体"/>
          <w:sz w:val="28"/>
          <w:szCs w:val="28"/>
        </w:rPr>
      </w:pPr>
    </w:p>
    <w:p w:rsidR="00B3420C" w:rsidRDefault="00B3420C">
      <w:pPr>
        <w:jc w:val="center"/>
        <w:rPr>
          <w:rFonts w:ascii="黑体" w:eastAsia="黑体" w:hAnsi="黑体"/>
          <w:sz w:val="28"/>
          <w:szCs w:val="28"/>
        </w:rPr>
      </w:pPr>
    </w:p>
    <w:p w:rsidR="00B3420C" w:rsidRDefault="00B3420C">
      <w:pPr>
        <w:jc w:val="center"/>
        <w:rPr>
          <w:rFonts w:ascii="黑体" w:eastAsia="黑体" w:hAnsi="黑体"/>
          <w:sz w:val="28"/>
          <w:szCs w:val="28"/>
        </w:rPr>
      </w:pPr>
    </w:p>
    <w:p w:rsidR="00B3420C" w:rsidRDefault="00B3420C">
      <w:pPr>
        <w:jc w:val="center"/>
        <w:rPr>
          <w:rFonts w:ascii="黑体" w:eastAsia="黑体" w:hAnsi="黑体"/>
          <w:sz w:val="28"/>
          <w:szCs w:val="28"/>
        </w:rPr>
      </w:pPr>
    </w:p>
    <w:p w:rsidR="00B3420C" w:rsidRDefault="00B3420C">
      <w:pPr>
        <w:jc w:val="center"/>
        <w:rPr>
          <w:sz w:val="72"/>
          <w:szCs w:val="72"/>
        </w:rPr>
      </w:pPr>
    </w:p>
    <w:p w:rsidR="00B3420C" w:rsidRDefault="00B3420C">
      <w:pPr>
        <w:jc w:val="center"/>
        <w:rPr>
          <w:sz w:val="72"/>
          <w:szCs w:val="72"/>
        </w:rPr>
      </w:pPr>
    </w:p>
    <w:p w:rsidR="00B3420C" w:rsidRDefault="00B3420C">
      <w:pPr>
        <w:jc w:val="center"/>
        <w:rPr>
          <w:sz w:val="72"/>
          <w:szCs w:val="72"/>
        </w:rPr>
      </w:pPr>
    </w:p>
    <w:p w:rsidR="00B3420C" w:rsidRDefault="00B3420C">
      <w:pPr>
        <w:jc w:val="center"/>
        <w:rPr>
          <w:sz w:val="72"/>
          <w:szCs w:val="72"/>
        </w:rPr>
      </w:pPr>
    </w:p>
    <w:p w:rsidR="00B3420C" w:rsidRDefault="00B3420C">
      <w:pPr>
        <w:jc w:val="center"/>
        <w:rPr>
          <w:sz w:val="72"/>
          <w:szCs w:val="72"/>
        </w:rPr>
      </w:pPr>
    </w:p>
    <w:p w:rsidR="00B3420C" w:rsidRDefault="00D359B8">
      <w:pPr>
        <w:jc w:val="center"/>
        <w:rPr>
          <w:sz w:val="72"/>
          <w:szCs w:val="72"/>
        </w:rPr>
      </w:pPr>
      <w:r>
        <w:rPr>
          <w:rFonts w:hint="eastAsia"/>
          <w:sz w:val="72"/>
          <w:szCs w:val="72"/>
        </w:rPr>
        <w:t>第二部分</w:t>
      </w:r>
    </w:p>
    <w:p w:rsidR="00B3420C" w:rsidRDefault="00B3420C">
      <w:pPr>
        <w:jc w:val="center"/>
        <w:rPr>
          <w:sz w:val="72"/>
          <w:szCs w:val="72"/>
        </w:rPr>
      </w:pPr>
    </w:p>
    <w:p w:rsidR="00B3420C" w:rsidRDefault="00D359B8">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B3420C" w:rsidRDefault="00B3420C">
      <w:pPr>
        <w:jc w:val="center"/>
        <w:rPr>
          <w:sz w:val="72"/>
          <w:szCs w:val="72"/>
        </w:rPr>
      </w:pPr>
    </w:p>
    <w:p w:rsidR="00B3420C" w:rsidRDefault="00B3420C">
      <w:pPr>
        <w:jc w:val="center"/>
        <w:rPr>
          <w:sz w:val="72"/>
          <w:szCs w:val="72"/>
        </w:rPr>
      </w:pPr>
    </w:p>
    <w:p w:rsidR="00B3420C" w:rsidRDefault="00B3420C">
      <w:pPr>
        <w:jc w:val="center"/>
        <w:rPr>
          <w:sz w:val="72"/>
          <w:szCs w:val="72"/>
        </w:rPr>
      </w:pPr>
    </w:p>
    <w:p w:rsidR="00B3420C" w:rsidRDefault="00B3420C">
      <w:pPr>
        <w:jc w:val="center"/>
        <w:rPr>
          <w:sz w:val="72"/>
          <w:szCs w:val="72"/>
        </w:rPr>
      </w:pPr>
    </w:p>
    <w:p w:rsidR="00B3420C" w:rsidRDefault="00B3420C">
      <w:pPr>
        <w:jc w:val="center"/>
        <w:rPr>
          <w:sz w:val="72"/>
          <w:szCs w:val="72"/>
        </w:rPr>
      </w:pPr>
    </w:p>
    <w:p w:rsidR="00B3420C" w:rsidRDefault="00B3420C">
      <w:pPr>
        <w:jc w:val="center"/>
        <w:rPr>
          <w:sz w:val="72"/>
          <w:szCs w:val="72"/>
        </w:rPr>
      </w:pPr>
    </w:p>
    <w:p w:rsidR="00B3420C" w:rsidRDefault="00B3420C">
      <w:pPr>
        <w:jc w:val="left"/>
        <w:rPr>
          <w:sz w:val="32"/>
          <w:szCs w:val="32"/>
        </w:rPr>
      </w:pPr>
    </w:p>
    <w:p w:rsidR="00B3420C" w:rsidRDefault="00B3420C">
      <w:pPr>
        <w:jc w:val="left"/>
        <w:rPr>
          <w:rFonts w:asciiTheme="minorEastAsia" w:hAnsiTheme="minorEastAsia"/>
          <w:sz w:val="32"/>
          <w:szCs w:val="32"/>
        </w:rPr>
        <w:sectPr w:rsidR="00B3420C">
          <w:pgSz w:w="11906" w:h="16838"/>
          <w:pgMar w:top="720" w:right="720" w:bottom="720" w:left="720" w:header="851" w:footer="992" w:gutter="0"/>
          <w:cols w:space="425"/>
          <w:docGrid w:type="lines" w:linePitch="312"/>
        </w:sectPr>
      </w:pPr>
    </w:p>
    <w:p w:rsidR="00B3420C" w:rsidRDefault="00B3420C">
      <w:pPr>
        <w:pStyle w:val="Default"/>
        <w:rPr>
          <w:sz w:val="72"/>
          <w:szCs w:val="72"/>
        </w:rPr>
      </w:pPr>
    </w:p>
    <w:p w:rsidR="00B3420C" w:rsidRDefault="00B3420C">
      <w:pPr>
        <w:pStyle w:val="Default"/>
        <w:rPr>
          <w:sz w:val="72"/>
          <w:szCs w:val="72"/>
        </w:rPr>
      </w:pPr>
    </w:p>
    <w:p w:rsidR="00B3420C" w:rsidRDefault="00B3420C">
      <w:pPr>
        <w:pStyle w:val="Default"/>
        <w:rPr>
          <w:sz w:val="72"/>
          <w:szCs w:val="72"/>
        </w:rPr>
      </w:pPr>
    </w:p>
    <w:p w:rsidR="00B3420C" w:rsidRDefault="00B3420C">
      <w:pPr>
        <w:pStyle w:val="Default"/>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D359B8">
      <w:pPr>
        <w:pStyle w:val="Default"/>
        <w:jc w:val="center"/>
        <w:rPr>
          <w:sz w:val="72"/>
          <w:szCs w:val="72"/>
        </w:rPr>
      </w:pPr>
      <w:r>
        <w:rPr>
          <w:rFonts w:hint="eastAsia"/>
          <w:sz w:val="72"/>
          <w:szCs w:val="72"/>
        </w:rPr>
        <w:t>第三部分</w:t>
      </w:r>
    </w:p>
    <w:p w:rsidR="00B3420C" w:rsidRDefault="00B3420C">
      <w:pPr>
        <w:pStyle w:val="Default"/>
        <w:jc w:val="center"/>
        <w:rPr>
          <w:sz w:val="70"/>
          <w:szCs w:val="70"/>
        </w:rPr>
      </w:pPr>
    </w:p>
    <w:p w:rsidR="00B3420C" w:rsidRDefault="00D359B8">
      <w:pPr>
        <w:pStyle w:val="Default"/>
        <w:jc w:val="center"/>
        <w:rPr>
          <w:sz w:val="70"/>
          <w:szCs w:val="70"/>
        </w:rPr>
      </w:pPr>
      <w:r>
        <w:rPr>
          <w:sz w:val="70"/>
          <w:szCs w:val="70"/>
        </w:rPr>
        <w:t>20</w:t>
      </w:r>
      <w:r>
        <w:rPr>
          <w:rFonts w:hint="eastAsia"/>
          <w:sz w:val="70"/>
          <w:szCs w:val="70"/>
        </w:rPr>
        <w:t>20年度部门决算情况说明</w:t>
      </w:r>
    </w:p>
    <w:p w:rsidR="00B3420C" w:rsidRDefault="00D359B8">
      <w:pPr>
        <w:widowControl/>
        <w:jc w:val="left"/>
        <w:rPr>
          <w:rFonts w:ascii="黑体" w:eastAsia="黑体" w:cs="黑体"/>
          <w:color w:val="000000"/>
          <w:kern w:val="0"/>
          <w:sz w:val="70"/>
          <w:szCs w:val="70"/>
        </w:rPr>
      </w:pPr>
      <w:r>
        <w:rPr>
          <w:sz w:val="70"/>
          <w:szCs w:val="70"/>
        </w:rPr>
        <w:br w:type="page"/>
      </w:r>
    </w:p>
    <w:p w:rsidR="00B3420C" w:rsidRDefault="00B3420C">
      <w:pPr>
        <w:pStyle w:val="Default"/>
        <w:rPr>
          <w:rFonts w:asciiTheme="minorEastAsia" w:eastAsiaTheme="minorEastAsia" w:hAnsiTheme="minorEastAsia"/>
          <w:sz w:val="32"/>
          <w:szCs w:val="32"/>
        </w:rPr>
      </w:pPr>
    </w:p>
    <w:p w:rsidR="00B3420C" w:rsidRDefault="00D359B8">
      <w:pPr>
        <w:pStyle w:val="Default"/>
        <w:rPr>
          <w:rFonts w:hAnsi="黑体"/>
          <w:b/>
          <w:sz w:val="32"/>
          <w:szCs w:val="32"/>
        </w:rPr>
      </w:pPr>
      <w:r>
        <w:rPr>
          <w:rFonts w:hAnsi="黑体" w:hint="eastAsia"/>
          <w:b/>
          <w:sz w:val="32"/>
          <w:szCs w:val="32"/>
        </w:rPr>
        <w:t>一、收入支出决算总体情况说明</w:t>
      </w:r>
    </w:p>
    <w:p w:rsidR="00B3420C" w:rsidRDefault="00D359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2020年度收入129.12万元，支出129.12万元。2019年度收入143.92万元，支出143.92万元。2020年收、支总计与2019年相比，减少14.8万元，减少10.28%，主要是因为科普专项经费减少。</w:t>
      </w:r>
    </w:p>
    <w:p w:rsidR="00B3420C" w:rsidRDefault="00D359B8">
      <w:pPr>
        <w:pStyle w:val="Default"/>
        <w:rPr>
          <w:rFonts w:hAnsi="黑体"/>
          <w:b/>
          <w:sz w:val="32"/>
          <w:szCs w:val="32"/>
        </w:rPr>
      </w:pPr>
      <w:r>
        <w:rPr>
          <w:rFonts w:hAnsi="黑体" w:hint="eastAsia"/>
          <w:b/>
          <w:sz w:val="32"/>
          <w:szCs w:val="32"/>
        </w:rPr>
        <w:t>二、收入决算情况说明</w:t>
      </w:r>
    </w:p>
    <w:p w:rsidR="00B3420C" w:rsidRDefault="00D359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本年收入合计128.71万元，其中：财政拨款收入128.71万元，占100%；上级补助收入0万元，占0%；事业收入0万元，占0%；经营收入0万元，占0%；附属单位上缴收入0万元，占0%；其他收入0万元，占0%。</w:t>
      </w:r>
    </w:p>
    <w:p w:rsidR="00B3420C" w:rsidRDefault="00D359B8">
      <w:pPr>
        <w:pStyle w:val="Default"/>
        <w:rPr>
          <w:rFonts w:hAnsi="黑体"/>
          <w:b/>
          <w:sz w:val="32"/>
          <w:szCs w:val="32"/>
        </w:rPr>
      </w:pPr>
      <w:r>
        <w:rPr>
          <w:rFonts w:hAnsi="黑体" w:hint="eastAsia"/>
          <w:b/>
          <w:sz w:val="32"/>
          <w:szCs w:val="32"/>
        </w:rPr>
        <w:t>三、支出决算情况说明</w:t>
      </w:r>
    </w:p>
    <w:p w:rsidR="00B3420C" w:rsidRDefault="00D359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本年支出合计129.09万元，其中：基本支出129.09万元，占100%；项目支出0万元，占0%；上缴上级支出0万元，占0%；经营支出0万元，占0%；对附属单位补助支出0万元，占0%。</w:t>
      </w:r>
    </w:p>
    <w:p w:rsidR="00B3420C" w:rsidRDefault="00D359B8">
      <w:pPr>
        <w:pStyle w:val="Default"/>
        <w:rPr>
          <w:rFonts w:hAnsi="黑体"/>
          <w:b/>
          <w:sz w:val="32"/>
          <w:szCs w:val="32"/>
        </w:rPr>
      </w:pPr>
      <w:r>
        <w:rPr>
          <w:rFonts w:hAnsi="黑体" w:hint="eastAsia"/>
          <w:b/>
          <w:sz w:val="32"/>
          <w:szCs w:val="32"/>
        </w:rPr>
        <w:t>四、财政拨款收入支出决算总体情况说明</w:t>
      </w:r>
    </w:p>
    <w:p w:rsidR="00B3420C" w:rsidRDefault="00D359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 年度填报部门决算收入129.12万元，支出129.12万元。2019年度填报部门决算收入143.92万元，支出143.92万元。2020年收、支总计与2019年相比，减少14.8万元，减少10.28%，主要是因为科普专项经费减少。</w:t>
      </w:r>
    </w:p>
    <w:p w:rsidR="00B3420C" w:rsidRDefault="00D359B8">
      <w:pPr>
        <w:pStyle w:val="Default"/>
        <w:rPr>
          <w:rFonts w:hAnsi="黑体"/>
          <w:b/>
          <w:sz w:val="32"/>
          <w:szCs w:val="32"/>
        </w:rPr>
      </w:pPr>
      <w:r>
        <w:rPr>
          <w:rFonts w:hAnsi="黑体" w:hint="eastAsia"/>
          <w:b/>
          <w:sz w:val="32"/>
          <w:szCs w:val="32"/>
        </w:rPr>
        <w:t>五、一般公共预算财政拨款支出决算情况说明</w:t>
      </w:r>
    </w:p>
    <w:p w:rsidR="00B3420C" w:rsidRDefault="00D359B8" w:rsidP="002F19BA">
      <w:pPr>
        <w:pStyle w:val="Default"/>
        <w:ind w:firstLineChars="100" w:firstLine="321"/>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B3420C" w:rsidRDefault="00D359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2020年度财政拨款支出129.12万元，占本年支出合计的100%，与2019年相比，财政拨款支出减少14.8万元，减少10.28%，主要是因为科普专项经费减少。</w:t>
      </w:r>
    </w:p>
    <w:p w:rsidR="00B3420C" w:rsidRDefault="00D359B8" w:rsidP="002F19BA">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B3420C" w:rsidRDefault="00D359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2020年度财政拨款支出129.09万元，主要用于以下方面：科学技术支出</w:t>
      </w:r>
      <w:r>
        <w:rPr>
          <w:rFonts w:asciiTheme="minorEastAsia" w:eastAsiaTheme="minorEastAsia" w:hAnsiTheme="minorEastAsia" w:hint="eastAsia"/>
          <w:sz w:val="32"/>
          <w:szCs w:val="32"/>
        </w:rPr>
        <w:lastRenderedPageBreak/>
        <w:t>107.43万元，占83.22%；社会保障和就业支出10.39万元，占8.05%；卫生健康支出4.84万元，占3.75%；住房保障支出6.43万元，占4.98%。</w:t>
      </w:r>
    </w:p>
    <w:p w:rsidR="00B3420C" w:rsidRDefault="00D359B8" w:rsidP="002F19BA">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B3420C" w:rsidRDefault="00D359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2020年度财政拨款支出年初预算数为141.84万元，支出决算数为129.09万元，完成年初预算的91.01%，其中：</w:t>
      </w:r>
    </w:p>
    <w:p w:rsidR="00B3420C" w:rsidRDefault="00D359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1、科学技术支出（类）科学技术普及（款）机构运行（项）。</w:t>
      </w:r>
    </w:p>
    <w:p w:rsidR="00B3420C" w:rsidRDefault="00D359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年初预算为55.21万元，支出决算为73.42万元，完成年初预算的132.98%，决算数大于年初预算数的主要原因是：本年度新进工作人员2名，人员工资增加。</w:t>
      </w:r>
    </w:p>
    <w:p w:rsidR="00B3420C" w:rsidRDefault="00D359B8">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科学技术支出（类）科学技术普及（款）科普活动（项）。</w:t>
      </w:r>
    </w:p>
    <w:p w:rsidR="00B3420C" w:rsidRDefault="00D359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年初预算为40万元，支出决算为6.34万元，完成年初预算的15.98%，决算数小于年初预算数的主要原因是科普活动专项经费减少。</w:t>
      </w:r>
    </w:p>
    <w:p w:rsidR="00B3420C" w:rsidRDefault="00D359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3、科学技术支出（类）科学技术普及（款）其他科学技术普及（项）。</w:t>
      </w:r>
    </w:p>
    <w:p w:rsidR="00B3420C" w:rsidRDefault="00D359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年初预算为29万元，支出决算为27.62万元，完成年初预算的95.24%，决算数小于年初预算数的主要原因是：科技咨询中心工作经费减少。</w:t>
      </w:r>
    </w:p>
    <w:p w:rsidR="00B3420C" w:rsidRDefault="00D359B8">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社会保障和就业支出（类）行政事业离退休（款）归口管理的行政单位离退休（项）。</w:t>
      </w:r>
    </w:p>
    <w:p w:rsidR="00B3420C" w:rsidRDefault="00D359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2.57万元，支出决算为0万元，完成年初预算的0%，决算数小于年初预算数的主要原因是：因退休人员工资在社保基金中反映，在决算报表中不能反映退休人员经费支出，因此本单位的退休人员经费支出合并在机构运行经费中列支。</w:t>
      </w:r>
    </w:p>
    <w:p w:rsidR="00B3420C" w:rsidRDefault="00D359B8">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社会保障和就业支出（类）行政事业离退休（款）机关事业单位基本养老保险费支出（项）。</w:t>
      </w:r>
    </w:p>
    <w:p w:rsidR="00B3420C" w:rsidRDefault="00D359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年初预算为7.53万元，支出决算为10.39万元，完成年初预算的137.98%，</w:t>
      </w:r>
      <w:r>
        <w:rPr>
          <w:rFonts w:asciiTheme="minorEastAsia" w:eastAsiaTheme="minorEastAsia" w:hAnsiTheme="minorEastAsia" w:hint="eastAsia"/>
          <w:sz w:val="32"/>
          <w:szCs w:val="32"/>
        </w:rPr>
        <w:lastRenderedPageBreak/>
        <w:t>决算数大于年初预算数的主要原因是：本年度新进工作人员2名，人员工资增加。</w:t>
      </w:r>
    </w:p>
    <w:p w:rsidR="00B3420C" w:rsidRDefault="00D359B8">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卫生健康支出（类）行政事业单位医疗（款）行政单位医疗（项）。</w:t>
      </w:r>
    </w:p>
    <w:p w:rsidR="00B3420C" w:rsidRDefault="00D359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年初预算为3.76万元，支出决算为4.84万元，完成年初预算的128.72%决算数大于年初预算数的主要原因是：本年度新进工作人员2名，人员工资增加。</w:t>
      </w:r>
    </w:p>
    <w:p w:rsidR="00B3420C" w:rsidRDefault="00D359B8">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住房保障支出（类）住房改革支出（款）住房公积金（项）。</w:t>
      </w:r>
    </w:p>
    <w:p w:rsidR="00B3420C" w:rsidRDefault="00D359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年初预算为3.77万元，支出决算为6.43万元，完成年初预算的170.56%，决算数大于年初预算数的主要原因是：本年度新进工作人员2名，人员工资增加。</w:t>
      </w:r>
    </w:p>
    <w:p w:rsidR="00B3420C" w:rsidRDefault="00D359B8">
      <w:pPr>
        <w:pStyle w:val="Default"/>
        <w:rPr>
          <w:rFonts w:hAnsi="黑体"/>
          <w:b/>
          <w:sz w:val="32"/>
          <w:szCs w:val="32"/>
        </w:rPr>
      </w:pPr>
      <w:r>
        <w:rPr>
          <w:rFonts w:hAnsi="黑体" w:hint="eastAsia"/>
          <w:b/>
          <w:sz w:val="32"/>
          <w:szCs w:val="32"/>
        </w:rPr>
        <w:t>六、一般公共预算财政拨款基本支出决算情况说明</w:t>
      </w:r>
    </w:p>
    <w:p w:rsidR="00B3420C" w:rsidRDefault="00D359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基本支出129.09万元，其中：人员经费91.08万元，占基本支出的56.88%,主要包括基本工资34.33万元、津贴补贴18.09万元、伙食补助费1.76万元、绩效工资10.27万元、机关事业单位基本养老保险缴费10.39万元、职工医疗保险缴费4.84万元、其他社会保障缴费0.46万元、住房公积金6.43万元、其他工资福利支出4.51万元；公用经费33.94万元，占基本支出的26.29%，主要包括办公费11万元、印刷费15.5万元、电费0.1万元、差旅费2.2万元、工会费2.5万元、其他商品和服务支出2.64万元。</w:t>
      </w:r>
    </w:p>
    <w:p w:rsidR="00B3420C" w:rsidRDefault="00D359B8">
      <w:pPr>
        <w:pStyle w:val="Default"/>
        <w:rPr>
          <w:rFonts w:hAnsi="黑体"/>
          <w:b/>
          <w:sz w:val="32"/>
          <w:szCs w:val="32"/>
        </w:rPr>
      </w:pPr>
      <w:r>
        <w:rPr>
          <w:rFonts w:hAnsi="黑体" w:hint="eastAsia"/>
          <w:b/>
          <w:sz w:val="32"/>
          <w:szCs w:val="32"/>
        </w:rPr>
        <w:t>七、一般公共预算财政拨款三公经费支出决算情况说明</w:t>
      </w:r>
    </w:p>
    <w:p w:rsidR="00B3420C" w:rsidRDefault="00D359B8">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B3420C" w:rsidRDefault="00D359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“三公”经费财政拨款支出预算为1.</w:t>
      </w:r>
      <w:r w:rsidR="00F826DF">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万元，支出决算为0万元，完成预算的0%，其中：</w:t>
      </w:r>
    </w:p>
    <w:p w:rsidR="00B3420C" w:rsidRDefault="00D359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因公出国（境）费支出预算为0万元，支出决算为0万元，完成预算的100%，与上年持平。</w:t>
      </w:r>
    </w:p>
    <w:p w:rsidR="00B3420C" w:rsidRDefault="00D359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公务接待费支出预算为1.1万元，支出决算为0万元，完成预算的0%，比上年度减少0.5万元。决算数小于年初预算数的主要原因是因新冠肺炎疫情因素，本单位该年度没有发生公务接待支出。</w:t>
      </w:r>
    </w:p>
    <w:p w:rsidR="00B3420C" w:rsidRDefault="00D359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公务用车购置费及运行维护费支出预算为0万元，支出决算为0万元，完成预算的100%，与上年持平。</w:t>
      </w:r>
    </w:p>
    <w:p w:rsidR="00B3420C" w:rsidRDefault="00D359B8">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B3420C" w:rsidRDefault="00D359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2020年度“三公”经费财政拨款支出决算中，公务接待费支出决算0万元，占0%,因公出国（境）费支出决算0万元，占0%,公务用车购置费及运行维护费支出决算0万元，占0%。其中：</w:t>
      </w:r>
    </w:p>
    <w:p w:rsidR="00B3420C" w:rsidRDefault="00D359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1、因公出国（境）费支出决算为0万元，全年安排因公出国（境）团组0个，累计0人次。</w:t>
      </w:r>
    </w:p>
    <w:p w:rsidR="00B3420C" w:rsidRDefault="00D359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2、公务接待费支出决算为0万元，全年共接待来访团组0个、来宾0人次0。</w:t>
      </w:r>
    </w:p>
    <w:p w:rsidR="00B3420C" w:rsidRDefault="00D359B8">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3、公务用车购置费及运行维护费支出决算为0万元，其中：公务用车购置费0万元，科协更新公务用车0辆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公务用车运行维护费0万元，截止2020年12月31日，我单位开支财政拨款的公务用车保有量为0辆。</w:t>
      </w:r>
    </w:p>
    <w:p w:rsidR="00B3420C" w:rsidRDefault="00D359B8">
      <w:pPr>
        <w:pStyle w:val="Default"/>
        <w:rPr>
          <w:rFonts w:hAnsi="黑体"/>
          <w:b/>
          <w:sz w:val="32"/>
          <w:szCs w:val="32"/>
        </w:rPr>
      </w:pPr>
      <w:r>
        <w:rPr>
          <w:rFonts w:hAnsi="黑体" w:hint="eastAsia"/>
          <w:b/>
          <w:sz w:val="32"/>
          <w:szCs w:val="32"/>
        </w:rPr>
        <w:t>八、政府性基金预算收入支出决算情况</w:t>
      </w:r>
    </w:p>
    <w:p w:rsidR="00B3420C" w:rsidRDefault="00D359B8">
      <w:pPr>
        <w:pStyle w:val="Default"/>
        <w:rPr>
          <w:rFonts w:asciiTheme="minorEastAsia" w:eastAsiaTheme="minorEastAsia" w:hAnsiTheme="minorEastAsia" w:cstheme="minorBidi"/>
          <w:color w:val="auto"/>
          <w:kern w:val="2"/>
          <w:sz w:val="32"/>
          <w:szCs w:val="32"/>
        </w:rPr>
      </w:pPr>
      <w:r>
        <w:rPr>
          <w:rFonts w:asciiTheme="minorEastAsia" w:eastAsiaTheme="minorEastAsia" w:hAnsiTheme="minorEastAsia" w:hint="eastAsia"/>
          <w:sz w:val="32"/>
          <w:szCs w:val="32"/>
        </w:rPr>
        <w:t xml:space="preserve">     2020年度</w:t>
      </w:r>
      <w:r>
        <w:rPr>
          <w:rFonts w:asciiTheme="minorEastAsia" w:eastAsiaTheme="minorEastAsia" w:hAnsiTheme="minorEastAsia" w:cstheme="minorBidi" w:hint="eastAsia"/>
          <w:color w:val="auto"/>
          <w:kern w:val="2"/>
          <w:sz w:val="32"/>
          <w:szCs w:val="32"/>
        </w:rPr>
        <w:t>本单位无政府性基金收支。政府性基金收入0万元，支出0万元。</w:t>
      </w:r>
    </w:p>
    <w:p w:rsidR="00B3420C" w:rsidRDefault="00D359B8">
      <w:pPr>
        <w:pStyle w:val="Default"/>
        <w:rPr>
          <w:rFonts w:hAnsi="黑体"/>
          <w:b/>
          <w:sz w:val="32"/>
          <w:szCs w:val="32"/>
        </w:rPr>
      </w:pPr>
      <w:r>
        <w:rPr>
          <w:rFonts w:hAnsi="黑体" w:hint="eastAsia"/>
          <w:b/>
          <w:sz w:val="32"/>
          <w:szCs w:val="32"/>
        </w:rPr>
        <w:t>九、关于2020年度预算绩效情况说明</w:t>
      </w:r>
    </w:p>
    <w:p w:rsidR="00B3420C" w:rsidRDefault="00D359B8">
      <w:pPr>
        <w:ind w:firstLineChars="250" w:firstLine="800"/>
        <w:rPr>
          <w:rFonts w:asciiTheme="minorEastAsia" w:hAnsiTheme="minorEastAsia"/>
          <w:sz w:val="32"/>
          <w:szCs w:val="32"/>
        </w:rPr>
      </w:pPr>
      <w:r>
        <w:rPr>
          <w:rFonts w:asciiTheme="minorEastAsia" w:hAnsiTheme="minorEastAsia" w:hint="eastAsia"/>
          <w:sz w:val="32"/>
          <w:szCs w:val="32"/>
        </w:rPr>
        <w:t>2020年区科协确立了项目绩效目标，即开展全国科普日活动、青少年创新大赛、科技下乡等活动，通过科普知识的宣传普及，城区、乡镇人口科学素质得到了提高，促进了市区经济发展。科协通过制定活动方案、组织领导、年度目标考核等手段，完成了项目计划目标。科协的科普专项</w:t>
      </w:r>
      <w:r>
        <w:rPr>
          <w:rFonts w:asciiTheme="minorEastAsia" w:hAnsiTheme="minorEastAsia" w:hint="eastAsia"/>
          <w:sz w:val="32"/>
          <w:szCs w:val="32"/>
        </w:rPr>
        <w:lastRenderedPageBreak/>
        <w:t>资金项目使用规范，自我评价较好。</w:t>
      </w:r>
    </w:p>
    <w:p w:rsidR="00B3420C" w:rsidRDefault="00D359B8">
      <w:pPr>
        <w:pStyle w:val="Default"/>
        <w:rPr>
          <w:rFonts w:hAnsi="黑体"/>
          <w:b/>
          <w:sz w:val="32"/>
          <w:szCs w:val="32"/>
        </w:rPr>
      </w:pPr>
      <w:r>
        <w:rPr>
          <w:rFonts w:hAnsi="黑体" w:hint="eastAsia"/>
          <w:b/>
          <w:sz w:val="32"/>
          <w:szCs w:val="32"/>
        </w:rPr>
        <w:t>十、其他重要事项情况说明</w:t>
      </w:r>
    </w:p>
    <w:p w:rsidR="00B3420C" w:rsidRDefault="00D359B8" w:rsidP="002F19BA">
      <w:pPr>
        <w:ind w:firstLineChars="150" w:firstLine="482"/>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（一）机关运行经费支出情况</w:t>
      </w:r>
    </w:p>
    <w:p w:rsidR="00B3420C" w:rsidRDefault="00D359B8">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本部门2020年度机关运行经费支出33.94元，比年初预算数增加31.22万元，增长91.98%。主要原因是：1.人员工资及津补贴增加；2.单位专项经费支出增加。</w:t>
      </w:r>
    </w:p>
    <w:p w:rsidR="00B3420C" w:rsidRDefault="00D359B8" w:rsidP="002F19BA">
      <w:pPr>
        <w:ind w:firstLineChars="200" w:firstLine="643"/>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（二）一般性支出情况</w:t>
      </w:r>
    </w:p>
    <w:p w:rsidR="00B3420C" w:rsidRDefault="00D359B8">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2020年本部门开支会议费0</w:t>
      </w:r>
      <w:r w:rsidR="008528DB">
        <w:rPr>
          <w:rFonts w:asciiTheme="minorEastAsia" w:hAnsiTheme="minorEastAsia" w:cs="黑体" w:hint="eastAsia"/>
          <w:color w:val="000000"/>
          <w:kern w:val="0"/>
          <w:sz w:val="32"/>
          <w:szCs w:val="32"/>
        </w:rPr>
        <w:t>万元、</w:t>
      </w:r>
      <w:r w:rsidR="008528DB">
        <w:rPr>
          <w:rFonts w:ascii="宋体" w:hAnsi="宋体" w:hint="eastAsia"/>
          <w:sz w:val="28"/>
          <w:szCs w:val="28"/>
        </w:rPr>
        <w:t>培训费0万元，未举办节庆、晚会、论坛、赛事等活动。</w:t>
      </w:r>
    </w:p>
    <w:p w:rsidR="00B3420C" w:rsidRDefault="00D359B8" w:rsidP="002F19BA">
      <w:pPr>
        <w:ind w:firstLineChars="200" w:firstLine="643"/>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（三）政府采购支出情况</w:t>
      </w:r>
    </w:p>
    <w:p w:rsidR="00B3420C" w:rsidRDefault="00D359B8">
      <w:pPr>
        <w:ind w:firstLineChars="200" w:firstLine="640"/>
        <w:rPr>
          <w:rFonts w:asciiTheme="minorEastAsia" w:hAnsiTheme="minorEastAsia" w:cs="黑体"/>
          <w:i/>
          <w:color w:val="FF0000"/>
          <w:kern w:val="0"/>
          <w:sz w:val="32"/>
          <w:szCs w:val="32"/>
        </w:rPr>
      </w:pPr>
      <w:r>
        <w:rPr>
          <w:rFonts w:asciiTheme="minorEastAsia" w:hAnsiTheme="minorEastAsia" w:cs="黑体" w:hint="eastAsia"/>
          <w:color w:val="000000"/>
          <w:kern w:val="0"/>
          <w:sz w:val="32"/>
          <w:szCs w:val="32"/>
        </w:rPr>
        <w:t>本部门2020年度政府采购支出总额0万元，其中：政府采购货物支出0万元、政府采购工程支出0万元、政府采购服务支出0万元。授予中小企业合同金额0万元，占政府采购支出总额的0%，其中：授予小微企业合同金额0万元，占政府采购支出总额的0%。</w:t>
      </w:r>
    </w:p>
    <w:p w:rsidR="00B3420C" w:rsidRDefault="00D359B8" w:rsidP="002F19BA">
      <w:pPr>
        <w:ind w:firstLineChars="150" w:firstLine="482"/>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（四）国有资产占用情况</w:t>
      </w:r>
    </w:p>
    <w:p w:rsidR="00B3420C" w:rsidRDefault="00D359B8">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截至2020年12月31日，本单位共有车辆0辆，其中，领导干部用车0辆、机要通信用车0辆、应急保障用车0辆、执法执勤用车0辆、特种专业技术用车0辆、其他用车0辆；单位价值50万元以上通用设备0台（套）；单位价值100万元以上专用设备0台（套）。</w:t>
      </w:r>
    </w:p>
    <w:p w:rsidR="00B3420C" w:rsidRDefault="00B3420C">
      <w:pPr>
        <w:pStyle w:val="Default"/>
        <w:rPr>
          <w:rFonts w:hAnsi="黑体"/>
          <w:b/>
          <w:sz w:val="32"/>
          <w:szCs w:val="3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both"/>
        <w:rPr>
          <w:sz w:val="72"/>
          <w:szCs w:val="72"/>
        </w:rPr>
      </w:pPr>
    </w:p>
    <w:p w:rsidR="00B3420C" w:rsidRDefault="00B3420C">
      <w:pPr>
        <w:pStyle w:val="Default"/>
        <w:jc w:val="center"/>
        <w:rPr>
          <w:sz w:val="72"/>
          <w:szCs w:val="72"/>
        </w:rPr>
      </w:pPr>
    </w:p>
    <w:p w:rsidR="00B3420C" w:rsidRDefault="00D359B8">
      <w:pPr>
        <w:pStyle w:val="Default"/>
        <w:jc w:val="center"/>
        <w:rPr>
          <w:sz w:val="72"/>
          <w:szCs w:val="72"/>
        </w:rPr>
      </w:pPr>
      <w:r>
        <w:rPr>
          <w:rFonts w:hint="eastAsia"/>
          <w:sz w:val="72"/>
          <w:szCs w:val="72"/>
        </w:rPr>
        <w:t>第四部分</w:t>
      </w:r>
    </w:p>
    <w:p w:rsidR="00B3420C" w:rsidRDefault="00B3420C">
      <w:pPr>
        <w:jc w:val="center"/>
        <w:rPr>
          <w:rFonts w:ascii="黑体" w:eastAsia="黑体" w:cs="黑体"/>
          <w:color w:val="000000"/>
          <w:kern w:val="0"/>
          <w:sz w:val="70"/>
          <w:szCs w:val="70"/>
        </w:rPr>
      </w:pPr>
    </w:p>
    <w:p w:rsidR="00B3420C" w:rsidRDefault="00D359B8">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B3420C" w:rsidRDefault="00D359B8">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bookmarkStart w:id="0" w:name="_GoBack"/>
      <w:bookmarkEnd w:id="0"/>
    </w:p>
    <w:p w:rsidR="00B3420C" w:rsidRDefault="00B3420C">
      <w:pPr>
        <w:ind w:firstLineChars="200" w:firstLine="640"/>
        <w:jc w:val="left"/>
        <w:rPr>
          <w:rFonts w:asciiTheme="minorEastAsia" w:hAnsiTheme="minorEastAsia" w:cs="黑体"/>
          <w:color w:val="000000"/>
          <w:kern w:val="0"/>
          <w:sz w:val="32"/>
          <w:szCs w:val="32"/>
        </w:rPr>
      </w:pPr>
    </w:p>
    <w:p w:rsidR="00B3420C" w:rsidRDefault="00D359B8">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B3420C" w:rsidRDefault="00D359B8">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B3420C">
      <w:pPr>
        <w:pStyle w:val="Default"/>
        <w:jc w:val="center"/>
        <w:rPr>
          <w:sz w:val="72"/>
          <w:szCs w:val="72"/>
        </w:rPr>
      </w:pPr>
    </w:p>
    <w:p w:rsidR="00B3420C" w:rsidRDefault="00D359B8">
      <w:pPr>
        <w:pStyle w:val="Default"/>
        <w:jc w:val="center"/>
        <w:rPr>
          <w:sz w:val="72"/>
          <w:szCs w:val="72"/>
        </w:rPr>
      </w:pPr>
      <w:r>
        <w:rPr>
          <w:rFonts w:hint="eastAsia"/>
          <w:sz w:val="72"/>
          <w:szCs w:val="72"/>
        </w:rPr>
        <w:t>第五部分</w:t>
      </w:r>
    </w:p>
    <w:p w:rsidR="00B3420C" w:rsidRDefault="00B3420C">
      <w:pPr>
        <w:jc w:val="center"/>
        <w:rPr>
          <w:rFonts w:ascii="黑体" w:eastAsia="黑体" w:cs="黑体"/>
          <w:color w:val="000000"/>
          <w:kern w:val="0"/>
          <w:sz w:val="70"/>
          <w:szCs w:val="70"/>
        </w:rPr>
      </w:pPr>
    </w:p>
    <w:p w:rsidR="00B3420C" w:rsidRDefault="00D359B8">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r w:rsidR="002F19BA">
        <w:rPr>
          <w:rFonts w:ascii="黑体" w:eastAsia="黑体" w:cs="黑体" w:hint="eastAsia"/>
          <w:color w:val="000000"/>
          <w:kern w:val="0"/>
          <w:sz w:val="70"/>
          <w:szCs w:val="70"/>
        </w:rPr>
        <w:t>（无）</w:t>
      </w:r>
    </w:p>
    <w:p w:rsidR="00B3420C" w:rsidRDefault="00D359B8">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B3420C" w:rsidRDefault="00B3420C">
      <w:pPr>
        <w:jc w:val="center"/>
        <w:rPr>
          <w:rFonts w:ascii="黑体" w:eastAsia="黑体" w:cs="黑体"/>
          <w:color w:val="000000"/>
          <w:kern w:val="0"/>
          <w:sz w:val="70"/>
          <w:szCs w:val="70"/>
        </w:rPr>
      </w:pPr>
    </w:p>
    <w:sectPr w:rsidR="00B3420C" w:rsidSect="00B3420C">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C5B" w:rsidRDefault="00785C5B" w:rsidP="002F19BA">
      <w:r>
        <w:separator/>
      </w:r>
    </w:p>
  </w:endnote>
  <w:endnote w:type="continuationSeparator" w:id="1">
    <w:p w:rsidR="00785C5B" w:rsidRDefault="00785C5B" w:rsidP="002F19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C5B" w:rsidRDefault="00785C5B" w:rsidP="002F19BA">
      <w:r>
        <w:separator/>
      </w:r>
    </w:p>
  </w:footnote>
  <w:footnote w:type="continuationSeparator" w:id="1">
    <w:p w:rsidR="00785C5B" w:rsidRDefault="00785C5B" w:rsidP="002F19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D602C29"/>
    <w:multiLevelType w:val="singleLevel"/>
    <w:tmpl w:val="8D602C29"/>
    <w:lvl w:ilvl="0">
      <w:start w:val="2"/>
      <w:numFmt w:val="decimal"/>
      <w:suff w:val="nothing"/>
      <w:lvlText w:val="%1、"/>
      <w:lvlJc w:val="left"/>
    </w:lvl>
  </w:abstractNum>
  <w:abstractNum w:abstractNumId="1">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2F19BA"/>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5C5B"/>
    <w:rsid w:val="00787B42"/>
    <w:rsid w:val="007C4539"/>
    <w:rsid w:val="007F3657"/>
    <w:rsid w:val="00812ED5"/>
    <w:rsid w:val="008277D9"/>
    <w:rsid w:val="0084478C"/>
    <w:rsid w:val="008528DB"/>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3420C"/>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359B8"/>
    <w:rsid w:val="00D415BA"/>
    <w:rsid w:val="00D644EE"/>
    <w:rsid w:val="00DD06FF"/>
    <w:rsid w:val="00DD5FE9"/>
    <w:rsid w:val="00E00C7A"/>
    <w:rsid w:val="00E37D6C"/>
    <w:rsid w:val="00E55B68"/>
    <w:rsid w:val="00E67BE6"/>
    <w:rsid w:val="00E8683C"/>
    <w:rsid w:val="00E97B5E"/>
    <w:rsid w:val="00EA2B72"/>
    <w:rsid w:val="00F74360"/>
    <w:rsid w:val="00F826DF"/>
    <w:rsid w:val="00FB462F"/>
    <w:rsid w:val="00FE16FA"/>
    <w:rsid w:val="00FE328A"/>
    <w:rsid w:val="00FE6269"/>
    <w:rsid w:val="07CC414F"/>
    <w:rsid w:val="254F19B3"/>
    <w:rsid w:val="28FA1624"/>
    <w:rsid w:val="2DFD75D7"/>
    <w:rsid w:val="44815C88"/>
    <w:rsid w:val="74411E3E"/>
    <w:rsid w:val="79D41C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20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3420C"/>
    <w:rPr>
      <w:sz w:val="18"/>
      <w:szCs w:val="18"/>
    </w:rPr>
  </w:style>
  <w:style w:type="paragraph" w:styleId="a4">
    <w:name w:val="footer"/>
    <w:basedOn w:val="a"/>
    <w:link w:val="Char0"/>
    <w:uiPriority w:val="99"/>
    <w:unhideWhenUsed/>
    <w:qFormat/>
    <w:rsid w:val="00B3420C"/>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B3420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B3420C"/>
    <w:rPr>
      <w:sz w:val="18"/>
      <w:szCs w:val="18"/>
    </w:rPr>
  </w:style>
  <w:style w:type="character" w:customStyle="1" w:styleId="Char0">
    <w:name w:val="页脚 Char"/>
    <w:basedOn w:val="a0"/>
    <w:link w:val="a4"/>
    <w:uiPriority w:val="99"/>
    <w:qFormat/>
    <w:rsid w:val="00B3420C"/>
    <w:rPr>
      <w:sz w:val="18"/>
      <w:szCs w:val="18"/>
    </w:rPr>
  </w:style>
  <w:style w:type="paragraph" w:customStyle="1" w:styleId="Default">
    <w:name w:val="Default"/>
    <w:qFormat/>
    <w:rsid w:val="00B3420C"/>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B3420C"/>
    <w:pPr>
      <w:ind w:firstLineChars="200" w:firstLine="420"/>
    </w:pPr>
  </w:style>
  <w:style w:type="character" w:customStyle="1" w:styleId="Char">
    <w:name w:val="批注框文本 Char"/>
    <w:basedOn w:val="a0"/>
    <w:link w:val="a3"/>
    <w:uiPriority w:val="99"/>
    <w:semiHidden/>
    <w:qFormat/>
    <w:rsid w:val="00B3420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670</Words>
  <Characters>3824</Characters>
  <Application>Microsoft Office Word</Application>
  <DocSecurity>0</DocSecurity>
  <Lines>31</Lines>
  <Paragraphs>8</Paragraphs>
  <ScaleCrop>false</ScaleCrop>
  <Company>Microsoft</Company>
  <LinksUpToDate>false</LinksUpToDate>
  <CharactersWithSpaces>4486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4</cp:revision>
  <cp:lastPrinted>2021-09-10T02:46:00Z</cp:lastPrinted>
  <dcterms:created xsi:type="dcterms:W3CDTF">2021-09-26T03:46:00Z</dcterms:created>
  <dcterms:modified xsi:type="dcterms:W3CDTF">2022-11-18T00:38:00Z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BE4EECA008E74142950B492ADAAB4497</vt:lpwstr>
  </property>
</Properties>
</file>