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sz w:val="56"/>
          <w:szCs w:val="56"/>
        </w:rPr>
      </w:pPr>
    </w:p>
    <w:p>
      <w:pPr>
        <w:pStyle w:val="10"/>
        <w:jc w:val="center"/>
        <w:rPr>
          <w:sz w:val="56"/>
          <w:szCs w:val="56"/>
        </w:rPr>
      </w:pPr>
    </w:p>
    <w:p>
      <w:pPr>
        <w:pStyle w:val="10"/>
        <w:jc w:val="center"/>
        <w:rPr>
          <w:sz w:val="84"/>
          <w:szCs w:val="84"/>
        </w:rPr>
      </w:pPr>
    </w:p>
    <w:p>
      <w:pPr>
        <w:pStyle w:val="10"/>
        <w:jc w:val="center"/>
        <w:rPr>
          <w:sz w:val="84"/>
          <w:szCs w:val="84"/>
        </w:rPr>
      </w:pPr>
    </w:p>
    <w:p>
      <w:pPr>
        <w:pStyle w:val="10"/>
        <w:jc w:val="center"/>
        <w:rPr>
          <w:sz w:val="84"/>
          <w:szCs w:val="84"/>
        </w:rPr>
      </w:pPr>
      <w:r>
        <w:rPr>
          <w:rFonts w:hint="eastAsia"/>
          <w:sz w:val="84"/>
          <w:szCs w:val="84"/>
        </w:rPr>
        <w:t>2020年度</w:t>
      </w:r>
    </w:p>
    <w:p>
      <w:pPr>
        <w:pStyle w:val="10"/>
        <w:jc w:val="center"/>
        <w:rPr>
          <w:sz w:val="84"/>
          <w:szCs w:val="84"/>
        </w:rPr>
      </w:pPr>
      <w:r>
        <w:rPr>
          <w:rFonts w:hint="eastAsia"/>
          <w:sz w:val="84"/>
          <w:szCs w:val="84"/>
        </w:rPr>
        <w:t>迎丰街道办事处单位部门决算</w:t>
      </w:r>
    </w:p>
    <w:p>
      <w:pPr>
        <w:pStyle w:val="10"/>
        <w:jc w:val="center"/>
        <w:rPr>
          <w:sz w:val="56"/>
          <w:szCs w:val="56"/>
        </w:rPr>
      </w:pPr>
    </w:p>
    <w:p>
      <w:pPr>
        <w:pStyle w:val="10"/>
        <w:jc w:val="center"/>
        <w:rPr>
          <w:sz w:val="56"/>
          <w:szCs w:val="56"/>
        </w:rPr>
      </w:pPr>
    </w:p>
    <w:p>
      <w:pPr>
        <w:pStyle w:val="10"/>
        <w:jc w:val="center"/>
        <w:rPr>
          <w:sz w:val="56"/>
          <w:szCs w:val="56"/>
        </w:rPr>
      </w:pPr>
    </w:p>
    <w:p>
      <w:pPr>
        <w:pStyle w:val="10"/>
        <w:jc w:val="center"/>
        <w:rPr>
          <w:sz w:val="56"/>
          <w:szCs w:val="56"/>
        </w:rPr>
      </w:pPr>
    </w:p>
    <w:p>
      <w:pPr>
        <w:pStyle w:val="10"/>
        <w:jc w:val="center"/>
        <w:rPr>
          <w:sz w:val="32"/>
          <w:szCs w:val="32"/>
        </w:rPr>
      </w:pPr>
    </w:p>
    <w:p>
      <w:pPr>
        <w:pStyle w:val="10"/>
        <w:jc w:val="center"/>
        <w:rPr>
          <w:sz w:val="32"/>
          <w:szCs w:val="32"/>
        </w:rPr>
      </w:pPr>
    </w:p>
    <w:p>
      <w:pPr>
        <w:pStyle w:val="10"/>
        <w:jc w:val="center"/>
        <w:rPr>
          <w:sz w:val="32"/>
          <w:szCs w:val="32"/>
        </w:rPr>
      </w:pPr>
    </w:p>
    <w:p>
      <w:pPr>
        <w:pStyle w:val="10"/>
        <w:jc w:val="center"/>
        <w:rPr>
          <w:sz w:val="32"/>
          <w:szCs w:val="32"/>
        </w:rPr>
      </w:pPr>
    </w:p>
    <w:p>
      <w:pPr>
        <w:pStyle w:val="10"/>
        <w:spacing w:line="500" w:lineRule="exact"/>
        <w:jc w:val="both"/>
        <w:rPr>
          <w:b/>
          <w:sz w:val="36"/>
          <w:szCs w:val="28"/>
        </w:rPr>
      </w:pPr>
    </w:p>
    <w:p>
      <w:pPr>
        <w:pStyle w:val="10"/>
        <w:spacing w:line="500" w:lineRule="exact"/>
        <w:jc w:val="center"/>
        <w:rPr>
          <w:b/>
          <w:sz w:val="36"/>
          <w:szCs w:val="28"/>
        </w:rPr>
      </w:pPr>
    </w:p>
    <w:p>
      <w:pPr>
        <w:pStyle w:val="10"/>
        <w:spacing w:line="500" w:lineRule="exact"/>
        <w:jc w:val="center"/>
        <w:rPr>
          <w:b/>
          <w:sz w:val="36"/>
          <w:szCs w:val="28"/>
        </w:rPr>
      </w:pPr>
      <w:r>
        <w:rPr>
          <w:rFonts w:hint="eastAsia"/>
          <w:b/>
          <w:sz w:val="36"/>
          <w:szCs w:val="28"/>
        </w:rPr>
        <w:t>目录</w:t>
      </w:r>
    </w:p>
    <w:p>
      <w:pPr>
        <w:pStyle w:val="10"/>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lang w:eastAsia="zh-CN"/>
        </w:rPr>
        <w:t>迎丰街道办事处</w:t>
      </w:r>
      <w:r>
        <w:rPr>
          <w:rFonts w:hint="eastAsia"/>
          <w:b/>
          <w:sz w:val="28"/>
          <w:szCs w:val="28"/>
        </w:rPr>
        <w:t>单位概况</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10"/>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20年度部门决算表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10"/>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10"/>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20年度部门决算情况说明</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关于机关运行经费支出说明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十一、关于政府采购支出说明</w:t>
      </w:r>
    </w:p>
    <w:p>
      <w:pPr>
        <w:pStyle w:val="10"/>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十二、关于国有资产占用情况说明</w:t>
      </w:r>
    </w:p>
    <w:p>
      <w:pPr>
        <w:pStyle w:val="10"/>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十三、关</w:t>
      </w:r>
      <w:r>
        <w:rPr>
          <w:rFonts w:hint="eastAsia" w:cs="仿宋_GB2312" w:asciiTheme="minorEastAsia" w:hAnsiTheme="minorEastAsia" w:eastAsiaTheme="minorEastAsia"/>
          <w:sz w:val="28"/>
          <w:szCs w:val="28"/>
        </w:rPr>
        <w:t>于2020年</w:t>
      </w:r>
      <w:r>
        <w:rPr>
          <w:rFonts w:hint="eastAsia" w:ascii="仿宋_GB2312" w:hAnsi="仿宋_GB2312" w:cs="仿宋_GB2312" w:eastAsiaTheme="minorEastAsia"/>
          <w:sz w:val="28"/>
          <w:szCs w:val="28"/>
        </w:rPr>
        <w:t>度预算绩效情况的说明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10"/>
        <w:jc w:val="center"/>
        <w:rPr>
          <w:sz w:val="84"/>
          <w:szCs w:val="84"/>
        </w:rPr>
      </w:pPr>
      <w:r>
        <w:rPr>
          <w:rFonts w:hint="eastAsia"/>
          <w:sz w:val="84"/>
          <w:szCs w:val="84"/>
        </w:rPr>
        <w:t>第一部分</w:t>
      </w:r>
    </w:p>
    <w:p>
      <w:pPr>
        <w:pStyle w:val="10"/>
        <w:jc w:val="center"/>
        <w:rPr>
          <w:sz w:val="84"/>
          <w:szCs w:val="84"/>
        </w:rPr>
      </w:pPr>
    </w:p>
    <w:p>
      <w:pPr>
        <w:pStyle w:val="10"/>
        <w:jc w:val="center"/>
        <w:rPr>
          <w:sz w:val="84"/>
          <w:szCs w:val="84"/>
        </w:rPr>
      </w:pPr>
      <w:r>
        <w:rPr>
          <w:rFonts w:hint="eastAsia"/>
          <w:sz w:val="84"/>
          <w:szCs w:val="84"/>
        </w:rPr>
        <w:t>迎丰街道办事处单位概况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1"/>
        <w:ind w:left="720" w:firstLine="0" w:firstLineChars="0"/>
        <w:jc w:val="left"/>
        <w:rPr>
          <w:rFonts w:ascii="黑体" w:hAnsi="黑体" w:eastAsia="黑体"/>
          <w:sz w:val="32"/>
          <w:szCs w:val="32"/>
        </w:rPr>
      </w:pPr>
    </w:p>
    <w:p>
      <w:pPr>
        <w:pStyle w:val="11"/>
        <w:ind w:left="720" w:firstLine="0" w:firstLineChars="0"/>
        <w:jc w:val="left"/>
        <w:rPr>
          <w:rFonts w:ascii="黑体" w:hAnsi="黑体" w:eastAsia="黑体"/>
          <w:sz w:val="32"/>
          <w:szCs w:val="32"/>
        </w:rPr>
      </w:pPr>
    </w:p>
    <w:p>
      <w:pPr>
        <w:pStyle w:val="11"/>
        <w:ind w:left="720" w:firstLine="0" w:firstLineChars="0"/>
        <w:jc w:val="left"/>
        <w:rPr>
          <w:rFonts w:ascii="黑体" w:hAnsi="黑体" w:eastAsia="黑体"/>
          <w:sz w:val="32"/>
          <w:szCs w:val="32"/>
        </w:rPr>
      </w:pPr>
    </w:p>
    <w:p>
      <w:pPr>
        <w:pStyle w:val="11"/>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jc w:val="left"/>
        <w:rPr>
          <w:rFonts w:asciiTheme="minorEastAsia" w:hAnsiTheme="minorEastAsia"/>
          <w:bCs/>
          <w:kern w:val="0"/>
          <w:sz w:val="32"/>
          <w:szCs w:val="32"/>
        </w:rPr>
      </w:pPr>
      <w:r>
        <w:rPr>
          <w:rFonts w:hint="eastAsia" w:asciiTheme="minorEastAsia" w:hAnsiTheme="minorEastAsia"/>
          <w:bCs/>
          <w:kern w:val="0"/>
          <w:sz w:val="32"/>
          <w:szCs w:val="32"/>
        </w:rPr>
        <w:t>执行本级人民代表大会的决议和上级国家行政机关的决定和命令；执行本级行政区域内的经济和社会发展计划，管理、预算本行政区域内的经济、教育、科学、文化、卫生、体育事业和财政、民政、公安、司法、计划生育等行政工作。</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rPr>
          <w:rFonts w:asciiTheme="minorEastAsia" w:hAnsiTheme="minorEastAsia"/>
          <w:bCs/>
          <w:kern w:val="0"/>
          <w:sz w:val="32"/>
          <w:szCs w:val="32"/>
        </w:rPr>
      </w:pPr>
      <w:r>
        <w:rPr>
          <w:rFonts w:hint="eastAsia" w:asciiTheme="minorEastAsia" w:hAnsiTheme="minorEastAsia"/>
          <w:bCs/>
          <w:kern w:val="0"/>
          <w:sz w:val="32"/>
          <w:szCs w:val="32"/>
        </w:rPr>
        <w:t>（一）内设机构设置。迎丰街道办事处单位内设机构包括：党政办办公室，民政、计生等。</w:t>
      </w:r>
    </w:p>
    <w:p>
      <w:pPr>
        <w:jc w:val="left"/>
        <w:rPr>
          <w:rFonts w:asciiTheme="minorEastAsia" w:hAnsiTheme="minorEastAsia"/>
          <w:bCs/>
          <w:kern w:val="0"/>
          <w:sz w:val="32"/>
          <w:szCs w:val="32"/>
        </w:rPr>
      </w:pPr>
      <w:r>
        <w:rPr>
          <w:rFonts w:hint="eastAsia" w:asciiTheme="minorEastAsia" w:hAnsiTheme="minorEastAsia"/>
          <w:bCs/>
          <w:kern w:val="0"/>
          <w:sz w:val="32"/>
          <w:szCs w:val="32"/>
        </w:rPr>
        <w:t>（二）决算单位构成。迎丰街道办事处单位</w:t>
      </w:r>
      <w:r>
        <w:rPr>
          <w:rFonts w:asciiTheme="minorEastAsia" w:hAnsiTheme="minorEastAsia"/>
          <w:bCs/>
          <w:kern w:val="0"/>
          <w:sz w:val="32"/>
          <w:szCs w:val="32"/>
        </w:rPr>
        <w:t>20</w:t>
      </w:r>
      <w:r>
        <w:rPr>
          <w:rFonts w:hint="eastAsia" w:asciiTheme="minorEastAsia" w:hAnsiTheme="minorEastAsia"/>
          <w:bCs/>
          <w:kern w:val="0"/>
          <w:sz w:val="32"/>
          <w:szCs w:val="32"/>
          <w:lang w:val="en-US" w:eastAsia="zh-CN"/>
        </w:rPr>
        <w:t>20</w:t>
      </w:r>
      <w:r>
        <w:rPr>
          <w:rFonts w:hint="eastAsia" w:asciiTheme="minorEastAsia" w:hAnsiTheme="minorEastAsia"/>
          <w:bCs/>
          <w:kern w:val="0"/>
          <w:sz w:val="32"/>
          <w:szCs w:val="32"/>
        </w:rPr>
        <w:t>年部门决算汇总公开单位构成包括：街道党政机关、财政、社区3个部门。</w:t>
      </w: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sz w:val="72"/>
          <w:szCs w:val="72"/>
        </w:rPr>
      </w:pPr>
      <w:r>
        <w:rPr>
          <w:rFonts w:hint="eastAsia"/>
          <w:sz w:val="72"/>
          <w:szCs w:val="72"/>
        </w:rPr>
        <w:t>部门决算表</w:t>
      </w:r>
      <w:r>
        <w:rPr>
          <w:sz w:val="72"/>
          <w:szCs w:val="72"/>
        </w:rPr>
        <w:br w:type="textWrapping"/>
      </w:r>
      <w:r>
        <w:rPr>
          <w:rFonts w:hint="eastAsia"/>
          <w:sz w:val="72"/>
          <w:szCs w:val="72"/>
        </w:rPr>
        <w:t>（表格见附件）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pStyle w:val="10"/>
        <w:rPr>
          <w:sz w:val="72"/>
          <w:szCs w:val="72"/>
        </w:rPr>
      </w:pPr>
    </w:p>
    <w:p>
      <w:pPr>
        <w:pStyle w:val="10"/>
        <w:rPr>
          <w:sz w:val="72"/>
          <w:szCs w:val="72"/>
        </w:rPr>
      </w:pPr>
    </w:p>
    <w:p>
      <w:pPr>
        <w:pStyle w:val="10"/>
        <w:rPr>
          <w:sz w:val="72"/>
          <w:szCs w:val="72"/>
        </w:rPr>
      </w:pPr>
    </w:p>
    <w:p>
      <w:pPr>
        <w:pStyle w:val="10"/>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r>
        <w:rPr>
          <w:rFonts w:hint="eastAsia"/>
          <w:sz w:val="72"/>
          <w:szCs w:val="72"/>
        </w:rPr>
        <w:t>第三部分</w:t>
      </w:r>
    </w:p>
    <w:p>
      <w:pPr>
        <w:pStyle w:val="10"/>
        <w:jc w:val="center"/>
        <w:rPr>
          <w:sz w:val="70"/>
          <w:szCs w:val="70"/>
        </w:rPr>
      </w:pPr>
    </w:p>
    <w:p>
      <w:pPr>
        <w:pStyle w:val="10"/>
        <w:jc w:val="center"/>
        <w:rPr>
          <w:sz w:val="70"/>
          <w:szCs w:val="70"/>
        </w:rPr>
      </w:pPr>
      <w:r>
        <w:rPr>
          <w:sz w:val="70"/>
          <w:szCs w:val="70"/>
        </w:rPr>
        <w:t>20</w:t>
      </w:r>
      <w:r>
        <w:rPr>
          <w:rFonts w:hint="eastAsia"/>
          <w:sz w:val="70"/>
          <w:szCs w:val="70"/>
        </w:rPr>
        <w:t>20年度部门决算情况说明</w:t>
      </w:r>
    </w:p>
    <w:p>
      <w:pPr>
        <w:widowControl/>
        <w:jc w:val="left"/>
        <w:rPr>
          <w:rFonts w:ascii="黑体" w:eastAsia="黑体" w:cs="黑体"/>
          <w:color w:val="000000"/>
          <w:kern w:val="0"/>
          <w:sz w:val="70"/>
          <w:szCs w:val="70"/>
        </w:rPr>
      </w:pPr>
      <w:r>
        <w:rPr>
          <w:sz w:val="70"/>
          <w:szCs w:val="70"/>
        </w:rPr>
        <w:br w:type="page"/>
      </w:r>
    </w:p>
    <w:p>
      <w:pPr>
        <w:pStyle w:val="10"/>
        <w:rPr>
          <w:rFonts w:asciiTheme="minorEastAsia" w:hAnsiTheme="minorEastAsia" w:eastAsiaTheme="minorEastAsia"/>
          <w:sz w:val="32"/>
          <w:szCs w:val="32"/>
        </w:rPr>
      </w:pPr>
    </w:p>
    <w:p>
      <w:pPr>
        <w:pStyle w:val="10"/>
        <w:rPr>
          <w:rFonts w:hAnsi="黑体"/>
          <w:b/>
          <w:sz w:val="32"/>
          <w:szCs w:val="32"/>
        </w:rPr>
      </w:pPr>
      <w:r>
        <w:rPr>
          <w:rFonts w:hint="eastAsia" w:hAnsi="黑体"/>
          <w:b/>
          <w:sz w:val="32"/>
          <w:szCs w:val="32"/>
        </w:rPr>
        <w:t>一、收入支出决算总体情况说明</w:t>
      </w:r>
    </w:p>
    <w:p>
      <w:pPr>
        <w:pStyle w:val="10"/>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2020年度收入合计2868.15万元。与上年相比，增加</w:t>
      </w:r>
      <w:r>
        <w:rPr>
          <w:rFonts w:hint="eastAsia" w:asciiTheme="minorEastAsia" w:hAnsiTheme="minorEastAsia" w:eastAsiaTheme="minorEastAsia"/>
          <w:sz w:val="32"/>
          <w:szCs w:val="32"/>
          <w:lang w:val="en-US" w:eastAsia="zh-CN"/>
        </w:rPr>
        <w:t>902.34</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45.9</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其他收入资金返还增加。</w:t>
      </w:r>
    </w:p>
    <w:p>
      <w:pPr>
        <w:pStyle w:val="10"/>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2020年度支出合计2868.15万元。与上年相比，增加</w:t>
      </w:r>
      <w:r>
        <w:rPr>
          <w:rFonts w:hint="eastAsia" w:asciiTheme="minorEastAsia" w:hAnsiTheme="minorEastAsia" w:eastAsiaTheme="minorEastAsia"/>
          <w:sz w:val="32"/>
          <w:szCs w:val="32"/>
          <w:lang w:val="en-US" w:eastAsia="zh-CN"/>
        </w:rPr>
        <w:t>372.08</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14.91</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项目</w:t>
      </w:r>
      <w:r>
        <w:rPr>
          <w:rFonts w:hint="eastAsia" w:asciiTheme="minorEastAsia" w:hAnsiTheme="minorEastAsia" w:eastAsiaTheme="minorEastAsia"/>
          <w:sz w:val="32"/>
          <w:szCs w:val="32"/>
        </w:rPr>
        <w:t>支出增加</w:t>
      </w:r>
      <w:r>
        <w:rPr>
          <w:rFonts w:hint="eastAsia" w:asciiTheme="minorEastAsia" w:hAnsiTheme="minorEastAsia" w:eastAsiaTheme="minorEastAsia"/>
          <w:sz w:val="32"/>
          <w:szCs w:val="32"/>
          <w:lang w:eastAsia="zh-CN"/>
        </w:rPr>
        <w:t>。</w:t>
      </w:r>
    </w:p>
    <w:p>
      <w:pPr>
        <w:pStyle w:val="10"/>
        <w:rPr>
          <w:rFonts w:hAnsi="黑体"/>
          <w:b/>
          <w:sz w:val="32"/>
          <w:szCs w:val="32"/>
        </w:rPr>
      </w:pPr>
      <w:r>
        <w:rPr>
          <w:rFonts w:hint="eastAsia" w:hAnsi="黑体"/>
          <w:b/>
          <w:sz w:val="32"/>
          <w:szCs w:val="32"/>
        </w:rPr>
        <w:t>二、收入决算情况说明</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本年收入合计2868.15万元，其中：财政拨款收入1946.15万元，占</w:t>
      </w:r>
      <w:r>
        <w:rPr>
          <w:rFonts w:hint="eastAsia" w:asciiTheme="minorEastAsia" w:hAnsiTheme="minorEastAsia" w:eastAsiaTheme="minorEastAsia"/>
          <w:sz w:val="32"/>
          <w:szCs w:val="32"/>
          <w:lang w:val="en-US" w:eastAsia="zh-CN"/>
        </w:rPr>
        <w:t>67.85</w:t>
      </w:r>
      <w:r>
        <w:rPr>
          <w:rFonts w:hint="eastAsia" w:asciiTheme="minorEastAsia" w:hAnsiTheme="minorEastAsia" w:eastAsiaTheme="minorEastAsia"/>
          <w:sz w:val="32"/>
          <w:szCs w:val="32"/>
        </w:rPr>
        <w:t>%；上级补助收入0万元，占0%；事业收入0万元，占0%；经营收入0万元，占0%；附属单位上缴收入0万元，占0%；其他收入</w:t>
      </w:r>
      <w:r>
        <w:rPr>
          <w:rFonts w:hint="eastAsia" w:asciiTheme="minorEastAsia" w:hAnsiTheme="minorEastAsia" w:eastAsiaTheme="minorEastAsia"/>
          <w:sz w:val="32"/>
          <w:szCs w:val="32"/>
          <w:lang w:val="en-US" w:eastAsia="zh-CN"/>
        </w:rPr>
        <w:t>922</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32.15</w:t>
      </w:r>
      <w:r>
        <w:rPr>
          <w:rFonts w:hint="eastAsia" w:asciiTheme="minorEastAsia" w:hAnsiTheme="minorEastAsia" w:eastAsiaTheme="minorEastAsia"/>
          <w:sz w:val="32"/>
          <w:szCs w:val="32"/>
        </w:rPr>
        <w:t>%。</w:t>
      </w:r>
    </w:p>
    <w:p>
      <w:pPr>
        <w:pStyle w:val="10"/>
        <w:rPr>
          <w:rFonts w:hAnsi="黑体"/>
          <w:b/>
          <w:sz w:val="32"/>
          <w:szCs w:val="32"/>
        </w:rPr>
      </w:pPr>
      <w:r>
        <w:rPr>
          <w:rFonts w:hint="eastAsia" w:hAnsi="黑体"/>
          <w:b/>
          <w:sz w:val="32"/>
          <w:szCs w:val="32"/>
        </w:rPr>
        <w:t>三、支出决算情况说明</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本年支出合计2868.15万元，其中：基本支出1933.17万元，占</w:t>
      </w:r>
      <w:r>
        <w:rPr>
          <w:rFonts w:hint="eastAsia" w:asciiTheme="minorEastAsia" w:hAnsiTheme="minorEastAsia" w:eastAsiaTheme="minorEastAsia"/>
          <w:sz w:val="32"/>
          <w:szCs w:val="32"/>
          <w:lang w:val="en-US" w:eastAsia="zh-CN"/>
        </w:rPr>
        <w:t>67.4</w:t>
      </w:r>
      <w:r>
        <w:rPr>
          <w:rFonts w:hint="eastAsia" w:asciiTheme="minorEastAsia" w:hAnsiTheme="minorEastAsia" w:eastAsiaTheme="minorEastAsia"/>
          <w:sz w:val="32"/>
          <w:szCs w:val="32"/>
        </w:rPr>
        <w:t>%；项目支出934.99万元，占</w:t>
      </w:r>
      <w:r>
        <w:rPr>
          <w:rFonts w:hint="eastAsia" w:asciiTheme="minorEastAsia" w:hAnsiTheme="minorEastAsia" w:eastAsiaTheme="minorEastAsia"/>
          <w:sz w:val="32"/>
          <w:szCs w:val="32"/>
          <w:lang w:val="en-US" w:eastAsia="zh-CN"/>
        </w:rPr>
        <w:t>32.6</w:t>
      </w:r>
      <w:r>
        <w:rPr>
          <w:rFonts w:hint="eastAsia" w:asciiTheme="minorEastAsia" w:hAnsiTheme="minorEastAsia" w:eastAsiaTheme="minorEastAsia"/>
          <w:sz w:val="32"/>
          <w:szCs w:val="32"/>
        </w:rPr>
        <w:t>%；上缴上级支出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%；对附属单位补助支出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10"/>
        <w:rPr>
          <w:rFonts w:hAnsi="黑体"/>
          <w:b/>
          <w:sz w:val="32"/>
          <w:szCs w:val="32"/>
        </w:rPr>
      </w:pPr>
      <w:r>
        <w:rPr>
          <w:rFonts w:hint="eastAsia" w:hAnsi="黑体"/>
          <w:b/>
          <w:sz w:val="32"/>
          <w:szCs w:val="32"/>
        </w:rPr>
        <w:t>四、财政拨款收入支出决算总体情况说明</w:t>
      </w:r>
    </w:p>
    <w:p>
      <w:pPr>
        <w:pStyle w:val="10"/>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2020年度财政拨款收入总计1946.15万元。与上年相比，减少</w:t>
      </w:r>
      <w:r>
        <w:rPr>
          <w:rFonts w:hint="eastAsia" w:asciiTheme="minorEastAsia" w:hAnsiTheme="minorEastAsia" w:eastAsiaTheme="minorEastAsia"/>
          <w:sz w:val="32"/>
          <w:szCs w:val="32"/>
          <w:lang w:val="en-US" w:eastAsia="zh-CN"/>
        </w:rPr>
        <w:t>19.66</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%，主要是因为财政拨款减少</w:t>
      </w:r>
      <w:r>
        <w:rPr>
          <w:rFonts w:hint="eastAsia" w:asciiTheme="minorEastAsia" w:hAnsiTheme="minorEastAsia" w:eastAsiaTheme="minorEastAsia"/>
          <w:sz w:val="32"/>
          <w:szCs w:val="32"/>
          <w:lang w:eastAsia="zh-CN"/>
        </w:rPr>
        <w:t>。</w:t>
      </w:r>
    </w:p>
    <w:p>
      <w:pPr>
        <w:pStyle w:val="10"/>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2020年度财政拨款支出总计1946.15万元。与上年相比</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减少</w:t>
      </w:r>
      <w:r>
        <w:rPr>
          <w:rFonts w:hint="eastAsia" w:asciiTheme="minorEastAsia" w:hAnsiTheme="minorEastAsia" w:eastAsiaTheme="minorEastAsia"/>
          <w:sz w:val="32"/>
          <w:szCs w:val="32"/>
          <w:lang w:val="en-US" w:eastAsia="zh-CN"/>
        </w:rPr>
        <w:t>549.92</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22.03</w:t>
      </w:r>
      <w:r>
        <w:rPr>
          <w:rFonts w:hint="eastAsia" w:asciiTheme="minorEastAsia" w:hAnsiTheme="minorEastAsia" w:eastAsiaTheme="minorEastAsia"/>
          <w:sz w:val="32"/>
          <w:szCs w:val="32"/>
        </w:rPr>
        <w:t>%，主要是因为城乡社区（类）支出</w:t>
      </w:r>
      <w:r>
        <w:rPr>
          <w:rFonts w:hint="eastAsia" w:asciiTheme="minorEastAsia" w:hAnsiTheme="minorEastAsia" w:eastAsiaTheme="minorEastAsia"/>
          <w:sz w:val="32"/>
          <w:szCs w:val="32"/>
          <w:lang w:eastAsia="zh-CN"/>
        </w:rPr>
        <w:t>减少。</w:t>
      </w:r>
    </w:p>
    <w:p>
      <w:pPr>
        <w:pStyle w:val="10"/>
        <w:rPr>
          <w:rFonts w:hAnsi="黑体"/>
          <w:b/>
          <w:sz w:val="32"/>
          <w:szCs w:val="32"/>
        </w:rPr>
      </w:pPr>
      <w:r>
        <w:rPr>
          <w:rFonts w:hint="eastAsia" w:hAnsi="黑体"/>
          <w:b/>
          <w:sz w:val="32"/>
          <w:szCs w:val="32"/>
        </w:rPr>
        <w:t>五、一般公共预算财政拨款支出决算情况说明</w:t>
      </w:r>
    </w:p>
    <w:p>
      <w:pPr>
        <w:pStyle w:val="10"/>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2020年度财政拨款支出1946.15万元，占本年支出合计的</w:t>
      </w:r>
      <w:r>
        <w:rPr>
          <w:rFonts w:hint="eastAsia" w:asciiTheme="minorEastAsia" w:hAnsiTheme="minorEastAsia" w:eastAsiaTheme="minorEastAsia"/>
          <w:sz w:val="32"/>
          <w:szCs w:val="32"/>
          <w:lang w:val="en-US" w:eastAsia="zh-CN"/>
        </w:rPr>
        <w:t>67.85</w:t>
      </w:r>
      <w:r>
        <w:rPr>
          <w:rFonts w:hint="eastAsia" w:asciiTheme="minorEastAsia" w:hAnsiTheme="minorEastAsia" w:eastAsiaTheme="minorEastAsia"/>
          <w:sz w:val="32"/>
          <w:szCs w:val="32"/>
        </w:rPr>
        <w:t>%，与上年相比，财政拨款支出减少</w:t>
      </w:r>
      <w:r>
        <w:rPr>
          <w:rFonts w:hint="eastAsia" w:asciiTheme="minorEastAsia" w:hAnsiTheme="minorEastAsia" w:eastAsiaTheme="minorEastAsia"/>
          <w:sz w:val="32"/>
          <w:szCs w:val="32"/>
          <w:lang w:val="en-US" w:eastAsia="zh-CN"/>
        </w:rPr>
        <w:t>549.92</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22.03</w:t>
      </w:r>
      <w:r>
        <w:rPr>
          <w:rFonts w:hint="eastAsia" w:asciiTheme="minorEastAsia" w:hAnsiTheme="minorEastAsia" w:eastAsiaTheme="minorEastAsia"/>
          <w:sz w:val="32"/>
          <w:szCs w:val="32"/>
        </w:rPr>
        <w:t>%，主要是因为城乡社区（类）支出</w:t>
      </w:r>
      <w:r>
        <w:rPr>
          <w:rFonts w:hint="eastAsia" w:asciiTheme="minorEastAsia" w:hAnsiTheme="minorEastAsia" w:eastAsiaTheme="minorEastAsia"/>
          <w:sz w:val="32"/>
          <w:szCs w:val="32"/>
          <w:lang w:eastAsia="zh-CN"/>
        </w:rPr>
        <w:t>减少。</w:t>
      </w:r>
    </w:p>
    <w:p>
      <w:pPr>
        <w:pStyle w:val="10"/>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2020年度财政拨款支出1946.15万元，主要用于以下方面：一般公共服务（类）支出697.99万元，占</w:t>
      </w:r>
      <w:r>
        <w:rPr>
          <w:rFonts w:hint="eastAsia" w:asciiTheme="minorEastAsia" w:hAnsiTheme="minorEastAsia" w:eastAsiaTheme="minorEastAsia"/>
          <w:sz w:val="32"/>
          <w:szCs w:val="32"/>
          <w:lang w:val="en-US" w:eastAsia="zh-CN"/>
        </w:rPr>
        <w:t>35.87</w:t>
      </w:r>
      <w:r>
        <w:rPr>
          <w:rFonts w:hint="eastAsia" w:asciiTheme="minorEastAsia" w:hAnsiTheme="minorEastAsia" w:eastAsiaTheme="minorEastAsia"/>
          <w:sz w:val="32"/>
          <w:szCs w:val="32"/>
        </w:rPr>
        <w:t>%；文化旅游体育与传媒（类）支出</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0.05</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社会保障和就业（类）支出295.52万元，占</w:t>
      </w:r>
      <w:r>
        <w:rPr>
          <w:rFonts w:hint="eastAsia" w:asciiTheme="minorEastAsia" w:hAnsiTheme="minorEastAsia" w:eastAsiaTheme="minorEastAsia"/>
          <w:sz w:val="32"/>
          <w:szCs w:val="32"/>
          <w:lang w:val="en-US" w:eastAsia="zh-CN"/>
        </w:rPr>
        <w:t>15.19</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卫生健康（类）支出</w:t>
      </w:r>
      <w:r>
        <w:rPr>
          <w:rFonts w:hint="eastAsia" w:asciiTheme="minorEastAsia" w:hAnsiTheme="minorEastAsia" w:eastAsiaTheme="minorEastAsia"/>
          <w:sz w:val="32"/>
          <w:szCs w:val="32"/>
          <w:lang w:val="en-US" w:eastAsia="zh-CN"/>
        </w:rPr>
        <w:t>124.43</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6.39</w:t>
      </w:r>
      <w:r>
        <w:rPr>
          <w:rFonts w:hint="eastAsia" w:asciiTheme="minorEastAsia" w:hAnsiTheme="minorEastAsia" w:eastAsiaTheme="minorEastAsia"/>
          <w:sz w:val="32"/>
          <w:szCs w:val="32"/>
        </w:rPr>
        <w:t>%；城乡社区（类）支出</w:t>
      </w:r>
      <w:r>
        <w:rPr>
          <w:rFonts w:hint="eastAsia" w:asciiTheme="minorEastAsia" w:hAnsiTheme="minorEastAsia" w:eastAsiaTheme="minorEastAsia"/>
          <w:sz w:val="32"/>
          <w:szCs w:val="32"/>
          <w:lang w:val="en-US" w:eastAsia="zh-CN"/>
        </w:rPr>
        <w:t>804.44</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41.33</w:t>
      </w:r>
      <w:r>
        <w:rPr>
          <w:rFonts w:hint="eastAsia" w:asciiTheme="minorEastAsia" w:hAnsiTheme="minorEastAsia" w:eastAsiaTheme="minorEastAsia"/>
          <w:sz w:val="32"/>
          <w:szCs w:val="32"/>
        </w:rPr>
        <w:t>%；住房保障（类）支出</w:t>
      </w:r>
      <w:r>
        <w:rPr>
          <w:rFonts w:hint="eastAsia" w:asciiTheme="minorEastAsia" w:hAnsiTheme="minorEastAsia" w:eastAsiaTheme="minorEastAsia"/>
          <w:sz w:val="32"/>
          <w:szCs w:val="32"/>
          <w:lang w:val="en-US" w:eastAsia="zh-CN"/>
        </w:rPr>
        <w:t>22.78</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1.17</w:t>
      </w:r>
      <w:r>
        <w:rPr>
          <w:rFonts w:hint="eastAsia" w:asciiTheme="minorEastAsia" w:hAnsiTheme="minorEastAsia" w:eastAsiaTheme="minorEastAsia"/>
          <w:sz w:val="32"/>
          <w:szCs w:val="32"/>
        </w:rPr>
        <w:t>%。</w:t>
      </w:r>
    </w:p>
    <w:p>
      <w:pPr>
        <w:pStyle w:val="10"/>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2020年度财政拨款支出年初预算数为</w:t>
      </w:r>
      <w:r>
        <w:rPr>
          <w:rFonts w:hint="eastAsia" w:asciiTheme="minorEastAsia" w:hAnsiTheme="minorEastAsia" w:eastAsiaTheme="minorEastAsia"/>
          <w:sz w:val="32"/>
          <w:szCs w:val="32"/>
          <w:lang w:val="en-US" w:eastAsia="zh-CN"/>
        </w:rPr>
        <w:t>1826.28</w:t>
      </w:r>
      <w:r>
        <w:rPr>
          <w:rFonts w:hint="eastAsia" w:asciiTheme="minorEastAsia" w:hAnsiTheme="minorEastAsia" w:eastAsiaTheme="minorEastAsia"/>
          <w:sz w:val="32"/>
          <w:szCs w:val="32"/>
        </w:rPr>
        <w:t>万元，支出决算数为</w:t>
      </w:r>
      <w:r>
        <w:rPr>
          <w:rFonts w:hint="eastAsia" w:asciiTheme="minorEastAsia" w:hAnsiTheme="minorEastAsia" w:eastAsiaTheme="minorEastAsia"/>
          <w:sz w:val="32"/>
          <w:szCs w:val="32"/>
          <w:lang w:val="en-US" w:eastAsia="zh-CN"/>
        </w:rPr>
        <w:t>1946.15</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106.56</w:t>
      </w:r>
      <w:r>
        <w:rPr>
          <w:rFonts w:hint="eastAsia" w:asciiTheme="minorEastAsia" w:hAnsiTheme="minorEastAsia" w:eastAsiaTheme="minorEastAsia"/>
          <w:sz w:val="32"/>
          <w:szCs w:val="32"/>
        </w:rPr>
        <w:t>%，其中：</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1、一般公共服务（类）政府办公厅（室）及相关机构事务（款）行政运行（项）。</w:t>
      </w:r>
    </w:p>
    <w:p>
      <w:pPr>
        <w:pStyle w:val="10"/>
        <w:ind w:firstLine="800" w:firstLineChars="250"/>
        <w:rPr>
          <w:rFonts w:asciiTheme="minorEastAsia" w:hAnsiTheme="minorEastAsia" w:eastAsiaTheme="minorEastAsia"/>
          <w:color w:val="0000FF"/>
          <w:sz w:val="32"/>
          <w:szCs w:val="32"/>
        </w:rPr>
      </w:pPr>
      <w:r>
        <w:rPr>
          <w:rFonts w:hint="eastAsia" w:asciiTheme="minorEastAsia" w:hAnsiTheme="minorEastAsia" w:eastAsiaTheme="minorEastAsia"/>
          <w:sz w:val="32"/>
          <w:szCs w:val="32"/>
        </w:rPr>
        <w:t>年初预算为292.11万元，支出决算为</w:t>
      </w:r>
      <w:r>
        <w:rPr>
          <w:rFonts w:hint="eastAsia" w:asciiTheme="minorEastAsia" w:hAnsiTheme="minorEastAsia" w:eastAsiaTheme="minorEastAsia"/>
          <w:sz w:val="32"/>
          <w:szCs w:val="32"/>
          <w:lang w:val="en-US" w:eastAsia="zh-CN"/>
        </w:rPr>
        <w:t>281.5</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96.37</w:t>
      </w:r>
      <w:r>
        <w:rPr>
          <w:rFonts w:hint="eastAsia" w:asciiTheme="minorEastAsia" w:hAnsiTheme="minorEastAsia" w:eastAsiaTheme="minorEastAsia"/>
          <w:sz w:val="32"/>
          <w:szCs w:val="32"/>
        </w:rPr>
        <w:t>%，决算数小于年初预算数的主要原因是：预算的功能代码与财政下指标的功能代码不一样，导致决算与预算功能科目金额不一样。</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2、一般公共服务（类）政府办公厅（室）及相关机构事务（款）一般行政管理事务（项）。</w:t>
      </w:r>
    </w:p>
    <w:p>
      <w:pPr>
        <w:pStyle w:val="10"/>
        <w:ind w:firstLine="800" w:firstLineChars="25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年初预算为0万元，支出决算为26.31万元，完成年初预算的100%，决算数大于年初预算数的主要原因是：预算的功能代码与财政下指标的功能代码不一样，导致决算与预算功能科目金额不一样。</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3、一般公共服务（类）政府办公厅（室）及相关机构事务（款）事业运行（项）。</w:t>
      </w:r>
    </w:p>
    <w:p>
      <w:pPr>
        <w:pStyle w:val="10"/>
        <w:ind w:firstLine="800" w:firstLineChars="25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年初预算为200.72万元，支出决算为</w:t>
      </w:r>
      <w:r>
        <w:rPr>
          <w:rFonts w:hint="eastAsia" w:asciiTheme="minorEastAsia" w:hAnsiTheme="minorEastAsia" w:eastAsiaTheme="minorEastAsia"/>
          <w:sz w:val="32"/>
          <w:szCs w:val="32"/>
          <w:lang w:val="en-US" w:eastAsia="zh-CN"/>
        </w:rPr>
        <w:t>355.95</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177.34</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大</w:t>
      </w:r>
      <w:r>
        <w:rPr>
          <w:rFonts w:hint="eastAsia" w:asciiTheme="minorEastAsia" w:hAnsiTheme="minorEastAsia" w:eastAsiaTheme="minorEastAsia"/>
          <w:sz w:val="32"/>
          <w:szCs w:val="32"/>
        </w:rPr>
        <w:t>于年初预算数的主要原因是：预算的功能代码与财政下指标的功能代码不一样，导致决算与预算功能科目金额不一样。</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4、一般公共服务（类）统计信息事务（款）统计管理（项）。</w:t>
      </w:r>
    </w:p>
    <w:p>
      <w:pPr>
        <w:pStyle w:val="10"/>
        <w:ind w:firstLine="800" w:firstLineChars="25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13</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%，决算数大于年初预算数的主要原因是：</w:t>
      </w:r>
      <w:r>
        <w:rPr>
          <w:rFonts w:hint="eastAsia" w:asciiTheme="minorEastAsia" w:hAnsiTheme="minorEastAsia" w:eastAsiaTheme="minorEastAsia"/>
          <w:sz w:val="32"/>
          <w:szCs w:val="32"/>
          <w:lang w:eastAsia="zh-CN"/>
        </w:rPr>
        <w:t>工作需要增加</w:t>
      </w:r>
      <w:r>
        <w:rPr>
          <w:rFonts w:hint="eastAsia" w:asciiTheme="minorEastAsia" w:hAnsiTheme="minorEastAsia" w:eastAsiaTheme="minorEastAsia"/>
          <w:sz w:val="32"/>
          <w:szCs w:val="32"/>
        </w:rPr>
        <w:t>。</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5、一般公共服务（类）财政事务（款） 行政运行（项）。</w:t>
      </w:r>
    </w:p>
    <w:p>
      <w:pPr>
        <w:pStyle w:val="10"/>
        <w:ind w:firstLine="800" w:firstLineChars="25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年初预算为25.7</w:t>
      </w:r>
      <w:r>
        <w:rPr>
          <w:rFonts w:hint="eastAsia" w:asciiTheme="minorEastAsia" w:hAnsiTheme="minorEastAsia" w:eastAsiaTheme="minorEastAsia"/>
          <w:sz w:val="32"/>
          <w:szCs w:val="32"/>
          <w:lang w:val="en-US" w:eastAsia="zh-CN"/>
        </w:rPr>
        <w:t>8</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12.23</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47.44</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小</w:t>
      </w:r>
      <w:r>
        <w:rPr>
          <w:rFonts w:hint="eastAsia" w:asciiTheme="minorEastAsia" w:hAnsiTheme="minorEastAsia" w:eastAsiaTheme="minorEastAsia"/>
          <w:sz w:val="32"/>
          <w:szCs w:val="32"/>
        </w:rPr>
        <w:t>于年初预算数的主要原因是：预算的功能代码与财政下指标的功能代码不一样，导致决算与预算功能科目金额不一样。</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6、一般公共服务（类）财政事务（款） 机关服务（项）。</w:t>
      </w:r>
    </w:p>
    <w:p>
      <w:pPr>
        <w:pStyle w:val="10"/>
        <w:ind w:firstLine="800" w:firstLineChars="25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年初预算为0万元，支出决算为</w:t>
      </w:r>
      <w:r>
        <w:rPr>
          <w:rFonts w:hint="eastAsia" w:asciiTheme="minorEastAsia" w:hAnsiTheme="minorEastAsia" w:eastAsiaTheme="minorEastAsia"/>
          <w:sz w:val="32"/>
          <w:szCs w:val="32"/>
          <w:lang w:val="en-US" w:eastAsia="zh-CN"/>
        </w:rPr>
        <w:t>2</w:t>
      </w:r>
      <w:r>
        <w:rPr>
          <w:rFonts w:hint="eastAsia" w:asciiTheme="minorEastAsia" w:hAnsiTheme="minorEastAsia" w:eastAsiaTheme="minorEastAsia"/>
          <w:sz w:val="32"/>
          <w:szCs w:val="32"/>
        </w:rPr>
        <w:t>万元，完成年初预算的100%，决算数大于年初预算数的主要原因是：预算的功能代码与财政下指标的功能代码不一样，导致决算与预算功能科目金额不一样。</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7、一般公共服务（类）财政事务（款） 信息化建设（项）。</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年初预算为2万元，支出决算为2万元，完成年初预算的100%。</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8、一般公共服务（类）群众团体事务（款）机关服务（项）。</w:t>
      </w:r>
    </w:p>
    <w:p>
      <w:pPr>
        <w:pStyle w:val="10"/>
        <w:ind w:firstLine="800" w:firstLineChars="25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年初预算为0万元，支出决算为</w:t>
      </w:r>
      <w:r>
        <w:rPr>
          <w:rFonts w:hint="eastAsia" w:asciiTheme="minorEastAsia" w:hAnsiTheme="minorEastAsia" w:eastAsiaTheme="minorEastAsia"/>
          <w:sz w:val="32"/>
          <w:szCs w:val="32"/>
          <w:lang w:val="en-US" w:eastAsia="zh-CN"/>
        </w:rPr>
        <w:t>5</w:t>
      </w:r>
      <w:r>
        <w:rPr>
          <w:rFonts w:hint="eastAsia" w:asciiTheme="minorEastAsia" w:hAnsiTheme="minorEastAsia" w:eastAsiaTheme="minorEastAsia"/>
          <w:sz w:val="32"/>
          <w:szCs w:val="32"/>
        </w:rPr>
        <w:t>万元，完成年初预算的100%，决算数大于年初预算数的主要原因是：预算的功能代码与财政下指标的功能代码不一样，导致决算与预算功能科目金额不一样。</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9、文化旅游体育与传媒支出（类）文化和旅游（款）其他文化和旅游支出（项）。</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年初预算为0万元，支出决算为218.87万元，完成年初预算的100%，决算数大于年初预算数的主要原因是：预算的功能代码与财政下指标的功能代码不一样，导致决算与预算功能科目金额不一样。</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10、社会保障和就业支出（类）民政管理事务（款）基层政权和社区建设（项）。</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年初预算为0万元，支出决算为</w:t>
      </w:r>
      <w:r>
        <w:rPr>
          <w:rFonts w:hint="eastAsia" w:asciiTheme="minorEastAsia" w:hAnsiTheme="minorEastAsia" w:eastAsiaTheme="minorEastAsia"/>
          <w:sz w:val="32"/>
          <w:szCs w:val="32"/>
          <w:lang w:val="en-US" w:eastAsia="zh-CN"/>
        </w:rPr>
        <w:t>132</w:t>
      </w:r>
      <w:r>
        <w:rPr>
          <w:rFonts w:hint="eastAsia" w:asciiTheme="minorEastAsia" w:hAnsiTheme="minorEastAsia" w:eastAsiaTheme="minorEastAsia"/>
          <w:sz w:val="32"/>
          <w:szCs w:val="32"/>
        </w:rPr>
        <w:t>万元，完成年初预算的100%，决算数大于年初预算数的主要原因是：预算的功能代码与财政下指标的功能代码不一样，导致决算与预算功能科目金额不一样。</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11、社会保障和就业支出（类）行政事业单位养老支出（款）行政单位离退休（项）。</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9.46</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10.77</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113.85</w:t>
      </w:r>
      <w:r>
        <w:rPr>
          <w:rFonts w:hint="eastAsia" w:asciiTheme="minorEastAsia" w:hAnsiTheme="minorEastAsia" w:eastAsiaTheme="minorEastAsia"/>
          <w:sz w:val="32"/>
          <w:szCs w:val="32"/>
        </w:rPr>
        <w:t>%，决算数大于年初预算数的主要原因是：预算的功能代码与财政下指标的功能代码不一样，导致决算与预算功能科目金额不一样。</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w:t>
      </w:r>
      <w:r>
        <w:rPr>
          <w:rFonts w:hint="eastAsia" w:asciiTheme="minorEastAsia" w:hAnsiTheme="minorEastAsia" w:eastAsiaTheme="minorEastAsia"/>
          <w:sz w:val="32"/>
          <w:szCs w:val="32"/>
          <w:lang w:val="en-US" w:eastAsia="zh-CN"/>
        </w:rPr>
        <w:t>2</w:t>
      </w:r>
      <w:r>
        <w:rPr>
          <w:rFonts w:hint="eastAsia" w:asciiTheme="minorEastAsia" w:hAnsiTheme="minorEastAsia" w:eastAsiaTheme="minorEastAsia"/>
          <w:sz w:val="32"/>
          <w:szCs w:val="32"/>
        </w:rPr>
        <w:t>、社会保障和就业支出（类）行政事业单位养老支出（款）机关事业单位基本养老保险缴费支出（项）。</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20.68</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96.3</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465.67</w:t>
      </w:r>
      <w:r>
        <w:rPr>
          <w:rFonts w:hint="eastAsia" w:asciiTheme="minorEastAsia" w:hAnsiTheme="minorEastAsia" w:eastAsiaTheme="minorEastAsia"/>
          <w:sz w:val="32"/>
          <w:szCs w:val="32"/>
        </w:rPr>
        <w:t>%，决算数大于年初预算数的主要原因是：预算的功能代码与财政下指标的功能代码不一样，导致决算与预算功能科目金额不一样。</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w:t>
      </w:r>
      <w:r>
        <w:rPr>
          <w:rFonts w:hint="eastAsia" w:asciiTheme="minorEastAsia" w:hAnsiTheme="minorEastAsia" w:eastAsiaTheme="minorEastAsia"/>
          <w:sz w:val="32"/>
          <w:szCs w:val="32"/>
          <w:lang w:val="en-US" w:eastAsia="zh-CN"/>
        </w:rPr>
        <w:t>3</w:t>
      </w:r>
      <w:r>
        <w:rPr>
          <w:rFonts w:hint="eastAsia" w:asciiTheme="minorEastAsia" w:hAnsiTheme="minorEastAsia" w:eastAsiaTheme="minorEastAsia"/>
          <w:sz w:val="32"/>
          <w:szCs w:val="32"/>
        </w:rPr>
        <w:t>、社会保障和就业支出（类）就业补助（款）其他就业补助支出（项）。</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年初预算为0万元，支出决算为18.</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4万元，完成年初预算的100%，决算数大于年初预算数的主要原因是：预算的功能代码与财政下指标的功能代码不一样，导致决算与预算功能科目金额不一样。</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w:t>
      </w:r>
      <w:r>
        <w:rPr>
          <w:rFonts w:hint="eastAsia" w:asciiTheme="minorEastAsia" w:hAnsiTheme="minorEastAsia" w:eastAsiaTheme="minorEastAsia"/>
          <w:sz w:val="32"/>
          <w:szCs w:val="32"/>
          <w:lang w:val="en-US" w:eastAsia="zh-CN"/>
        </w:rPr>
        <w:t>4</w:t>
      </w:r>
      <w:r>
        <w:rPr>
          <w:rFonts w:hint="eastAsia" w:asciiTheme="minorEastAsia" w:hAnsiTheme="minorEastAsia" w:eastAsiaTheme="minorEastAsia"/>
          <w:sz w:val="32"/>
          <w:szCs w:val="32"/>
        </w:rPr>
        <w:t>、社会保障和就业支出（类）抚恤（款）死亡抚恤（项）。</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年初预算为0万元，支出决算为</w:t>
      </w:r>
      <w:r>
        <w:rPr>
          <w:rFonts w:hint="eastAsia" w:asciiTheme="minorEastAsia" w:hAnsiTheme="minorEastAsia" w:eastAsiaTheme="minorEastAsia"/>
          <w:sz w:val="32"/>
          <w:szCs w:val="32"/>
          <w:lang w:val="en-US" w:eastAsia="zh-CN"/>
        </w:rPr>
        <w:t>22.06</w:t>
      </w:r>
      <w:r>
        <w:rPr>
          <w:rFonts w:hint="eastAsia" w:asciiTheme="minorEastAsia" w:hAnsiTheme="minorEastAsia" w:eastAsiaTheme="minorEastAsia"/>
          <w:sz w:val="32"/>
          <w:szCs w:val="32"/>
        </w:rPr>
        <w:t>万元，完成年初预算的100%，决算数大于年初预算数的主要原因是：预算的功能代码与财政下指标的功能代码不一样，导致决算与预算功能科目金额不一样。</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w:t>
      </w:r>
      <w:r>
        <w:rPr>
          <w:rFonts w:hint="eastAsia" w:asciiTheme="minorEastAsia" w:hAnsiTheme="minorEastAsia" w:eastAsiaTheme="minorEastAsia"/>
          <w:sz w:val="32"/>
          <w:szCs w:val="32"/>
          <w:lang w:val="en-US" w:eastAsia="zh-CN"/>
        </w:rPr>
        <w:t>5</w:t>
      </w:r>
      <w:r>
        <w:rPr>
          <w:rFonts w:hint="eastAsia" w:asciiTheme="minorEastAsia" w:hAnsiTheme="minorEastAsia" w:eastAsiaTheme="minorEastAsia"/>
          <w:sz w:val="32"/>
          <w:szCs w:val="32"/>
        </w:rPr>
        <w:t>、社会保障和就业支出（类）抚恤（款）在乡复员、退伍军人生活补助（项）。</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年初预算为0万元，支出决算为</w:t>
      </w:r>
      <w:r>
        <w:rPr>
          <w:rFonts w:hint="eastAsia" w:asciiTheme="minorEastAsia" w:hAnsiTheme="minorEastAsia" w:eastAsiaTheme="minorEastAsia"/>
          <w:sz w:val="32"/>
          <w:szCs w:val="32"/>
          <w:lang w:val="en-US" w:eastAsia="zh-CN"/>
        </w:rPr>
        <w:t>2.7</w:t>
      </w:r>
      <w:r>
        <w:rPr>
          <w:rFonts w:hint="eastAsia" w:asciiTheme="minorEastAsia" w:hAnsiTheme="minorEastAsia" w:eastAsiaTheme="minorEastAsia"/>
          <w:sz w:val="32"/>
          <w:szCs w:val="32"/>
        </w:rPr>
        <w:t>万元，完成年初预算的100%，决算数大于年初预算数的主要原因是：预算的功能代码与财政下指标的功能代码不一样，导致决算与预算功能科目金额不一样。</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w:t>
      </w:r>
      <w:r>
        <w:rPr>
          <w:rFonts w:hint="eastAsia" w:asciiTheme="minorEastAsia" w:hAnsiTheme="minorEastAsia" w:eastAsiaTheme="minorEastAsia"/>
          <w:sz w:val="32"/>
          <w:szCs w:val="32"/>
          <w:lang w:val="en-US" w:eastAsia="zh-CN"/>
        </w:rPr>
        <w:t>6</w:t>
      </w:r>
      <w:r>
        <w:rPr>
          <w:rFonts w:hint="eastAsia" w:asciiTheme="minorEastAsia" w:hAnsiTheme="minorEastAsia" w:eastAsiaTheme="minorEastAsia"/>
          <w:sz w:val="32"/>
          <w:szCs w:val="32"/>
        </w:rPr>
        <w:t>、社会保障和就业支出（类）最低生活保障（款）城市最低生活保障金支出（项）。</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年初预算为0万元，支出决算为</w:t>
      </w:r>
      <w:r>
        <w:rPr>
          <w:rFonts w:hint="eastAsia" w:asciiTheme="minorEastAsia" w:hAnsiTheme="minorEastAsia" w:eastAsiaTheme="minorEastAsia"/>
          <w:sz w:val="32"/>
          <w:szCs w:val="32"/>
          <w:lang w:val="en-US" w:eastAsia="zh-CN"/>
        </w:rPr>
        <w:t>13.65</w:t>
      </w:r>
      <w:r>
        <w:rPr>
          <w:rFonts w:hint="eastAsia" w:asciiTheme="minorEastAsia" w:hAnsiTheme="minorEastAsia" w:eastAsiaTheme="minorEastAsia"/>
          <w:sz w:val="32"/>
          <w:szCs w:val="32"/>
        </w:rPr>
        <w:t>万元，完成年初预算的100%，决算数大于年初预算数的主要原因是：预算的功能代码与财政下指标的功能代码不一样，导致决算与预算功能科目金额不一样。</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w:t>
      </w:r>
      <w:r>
        <w:rPr>
          <w:rFonts w:hint="eastAsia" w:asciiTheme="minorEastAsia" w:hAnsiTheme="minorEastAsia" w:eastAsiaTheme="minorEastAsia"/>
          <w:sz w:val="32"/>
          <w:szCs w:val="32"/>
          <w:lang w:val="en-US" w:eastAsia="zh-CN"/>
        </w:rPr>
        <w:t>7</w:t>
      </w:r>
      <w:r>
        <w:rPr>
          <w:rFonts w:hint="eastAsia" w:asciiTheme="minorEastAsia" w:hAnsiTheme="minorEastAsia" w:eastAsiaTheme="minorEastAsia"/>
          <w:sz w:val="32"/>
          <w:szCs w:val="32"/>
        </w:rPr>
        <w:t>、卫生健康（类）公共卫生（款）突发公共卫生事件应急处理（项）。</w:t>
      </w:r>
    </w:p>
    <w:p>
      <w:pPr>
        <w:pStyle w:val="10"/>
        <w:ind w:firstLine="800" w:firstLineChars="25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年初预算为0万元，支出决算为</w:t>
      </w:r>
      <w:r>
        <w:rPr>
          <w:rFonts w:hint="eastAsia" w:asciiTheme="minorEastAsia" w:hAnsiTheme="minorEastAsia" w:eastAsiaTheme="minorEastAsia"/>
          <w:sz w:val="32"/>
          <w:szCs w:val="32"/>
          <w:lang w:val="en-US" w:eastAsia="zh-CN"/>
        </w:rPr>
        <w:t>66.3</w:t>
      </w:r>
      <w:r>
        <w:rPr>
          <w:rFonts w:hint="eastAsia" w:asciiTheme="minorEastAsia" w:hAnsiTheme="minorEastAsia" w:eastAsiaTheme="minorEastAsia"/>
          <w:sz w:val="32"/>
          <w:szCs w:val="32"/>
        </w:rPr>
        <w:t>万元，完成年初预算的100%，决算数大于年初预算数的主要原因是：预算的功能代码与财政下指标的功能代码不一样，导致决算与预算功能科目金额不一样。</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w:t>
      </w:r>
      <w:r>
        <w:rPr>
          <w:rFonts w:hint="eastAsia" w:asciiTheme="minorEastAsia" w:hAnsiTheme="minorEastAsia" w:eastAsiaTheme="minorEastAsia"/>
          <w:sz w:val="32"/>
          <w:szCs w:val="32"/>
          <w:lang w:val="en-US" w:eastAsia="zh-CN"/>
        </w:rPr>
        <w:t>8</w:t>
      </w:r>
      <w:r>
        <w:rPr>
          <w:rFonts w:hint="eastAsia" w:asciiTheme="minorEastAsia" w:hAnsiTheme="minorEastAsia" w:eastAsiaTheme="minorEastAsia"/>
          <w:sz w:val="32"/>
          <w:szCs w:val="32"/>
        </w:rPr>
        <w:t>、卫生健康（类）计划生育事务（款）其他计划生育事务支出（项）。</w:t>
      </w:r>
    </w:p>
    <w:p>
      <w:pPr>
        <w:pStyle w:val="10"/>
        <w:ind w:firstLine="800" w:firstLineChars="25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年初预算为0万元，支出决算为</w:t>
      </w:r>
      <w:r>
        <w:rPr>
          <w:rFonts w:hint="eastAsia" w:asciiTheme="minorEastAsia" w:hAnsiTheme="minorEastAsia" w:eastAsiaTheme="minorEastAsia"/>
          <w:sz w:val="32"/>
          <w:szCs w:val="32"/>
          <w:lang w:val="en-US" w:eastAsia="zh-CN"/>
        </w:rPr>
        <w:t>5.82</w:t>
      </w:r>
      <w:r>
        <w:rPr>
          <w:rFonts w:hint="eastAsia" w:asciiTheme="minorEastAsia" w:hAnsiTheme="minorEastAsia" w:eastAsiaTheme="minorEastAsia"/>
          <w:sz w:val="32"/>
          <w:szCs w:val="32"/>
        </w:rPr>
        <w:t>万元，完成年初预算的100%，决算数大于年初预算数的主要原因是：预算的功能代码与财政下指标的功能代码不一样，导致决算与预算功能科目金额不一样。</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w:t>
      </w:r>
      <w:r>
        <w:rPr>
          <w:rFonts w:hint="eastAsia" w:asciiTheme="minorEastAsia" w:hAnsiTheme="minorEastAsia" w:eastAsiaTheme="minorEastAsia"/>
          <w:sz w:val="32"/>
          <w:szCs w:val="32"/>
          <w:lang w:val="en-US" w:eastAsia="zh-CN"/>
        </w:rPr>
        <w:t>9</w:t>
      </w:r>
      <w:r>
        <w:rPr>
          <w:rFonts w:hint="eastAsia" w:asciiTheme="minorEastAsia" w:hAnsiTheme="minorEastAsia" w:eastAsiaTheme="minorEastAsia"/>
          <w:sz w:val="32"/>
          <w:szCs w:val="32"/>
        </w:rPr>
        <w:t>、卫生健康（类）行政事业单位医疗（款）行政单位医疗（项）。</w:t>
      </w:r>
    </w:p>
    <w:p>
      <w:pPr>
        <w:pStyle w:val="10"/>
        <w:ind w:firstLine="800" w:firstLineChars="25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11.17</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10.34</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92.57</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小</w:t>
      </w:r>
      <w:r>
        <w:rPr>
          <w:rFonts w:hint="eastAsia" w:asciiTheme="minorEastAsia" w:hAnsiTheme="minorEastAsia" w:eastAsiaTheme="minorEastAsia"/>
          <w:sz w:val="32"/>
          <w:szCs w:val="32"/>
        </w:rPr>
        <w:t>于年初预算数的主要原因是：预算的功能代码与财政下指标的功能代码不一样，导致决算与预算功能科目金额不一样。</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20</w:t>
      </w:r>
      <w:r>
        <w:rPr>
          <w:rFonts w:hint="eastAsia" w:asciiTheme="minorEastAsia" w:hAnsiTheme="minorEastAsia" w:eastAsiaTheme="minorEastAsia"/>
          <w:sz w:val="32"/>
          <w:szCs w:val="32"/>
        </w:rPr>
        <w:t>、卫生健康（类）行政事业单位医疗（款）事业单位医疗（项）。</w:t>
      </w:r>
    </w:p>
    <w:p>
      <w:pPr>
        <w:pStyle w:val="10"/>
        <w:ind w:firstLine="800" w:firstLineChars="25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37.15</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37.97</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102.21</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小</w:t>
      </w:r>
      <w:r>
        <w:rPr>
          <w:rFonts w:hint="eastAsia" w:asciiTheme="minorEastAsia" w:hAnsiTheme="minorEastAsia" w:eastAsiaTheme="minorEastAsia"/>
          <w:sz w:val="32"/>
          <w:szCs w:val="32"/>
        </w:rPr>
        <w:t>于年初预算数的主要原因是：预算的功能代码与财政下指标的功能代码不一样，导致决算与预算功能科目金额不一样。</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21</w:t>
      </w:r>
      <w:r>
        <w:rPr>
          <w:rFonts w:hint="eastAsia" w:asciiTheme="minorEastAsia" w:hAnsiTheme="minorEastAsia" w:eastAsiaTheme="minorEastAsia"/>
          <w:sz w:val="32"/>
          <w:szCs w:val="32"/>
        </w:rPr>
        <w:t>、卫生健康（类）医疗救助（款）城乡医疗救助（项）。</w:t>
      </w:r>
    </w:p>
    <w:p>
      <w:pPr>
        <w:pStyle w:val="10"/>
        <w:ind w:firstLine="800" w:firstLineChars="25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4</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小</w:t>
      </w:r>
      <w:r>
        <w:rPr>
          <w:rFonts w:hint="eastAsia" w:asciiTheme="minorEastAsia" w:hAnsiTheme="minorEastAsia" w:eastAsiaTheme="minorEastAsia"/>
          <w:sz w:val="32"/>
          <w:szCs w:val="32"/>
        </w:rPr>
        <w:t>于年初预算数的主要原因是：预算的功能代码与财政下指标的功能代码不一样，导致决算与预算功能科目金额不一样。</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22</w:t>
      </w:r>
      <w:r>
        <w:rPr>
          <w:rFonts w:hint="eastAsia" w:asciiTheme="minorEastAsia" w:hAnsiTheme="minorEastAsia" w:eastAsiaTheme="minorEastAsia"/>
          <w:sz w:val="32"/>
          <w:szCs w:val="32"/>
        </w:rPr>
        <w:t>、城乡社区（类）城乡社区管理事务（款）行政运行（项）。</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年初预算为568.79万元，支出决算为</w:t>
      </w:r>
      <w:r>
        <w:rPr>
          <w:rFonts w:hint="eastAsia" w:asciiTheme="minorEastAsia" w:hAnsiTheme="minorEastAsia" w:eastAsiaTheme="minorEastAsia"/>
          <w:sz w:val="32"/>
          <w:szCs w:val="32"/>
          <w:lang w:val="en-US" w:eastAsia="zh-CN"/>
        </w:rPr>
        <w:t>355.77</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62.55</w:t>
      </w:r>
      <w:r>
        <w:rPr>
          <w:rFonts w:hint="eastAsia" w:asciiTheme="minorEastAsia" w:hAnsiTheme="minorEastAsia" w:eastAsiaTheme="minorEastAsia"/>
          <w:sz w:val="32"/>
          <w:szCs w:val="32"/>
        </w:rPr>
        <w:t>%，决算数小于年初预算数的主要原因是：预算的功能代码与财政下指标的功能代码不一样，导致决算与预算功能科目金额不一样。</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23</w:t>
      </w:r>
      <w:r>
        <w:rPr>
          <w:rFonts w:hint="eastAsia" w:asciiTheme="minorEastAsia" w:hAnsiTheme="minorEastAsia" w:eastAsiaTheme="minorEastAsia"/>
          <w:sz w:val="32"/>
          <w:szCs w:val="32"/>
        </w:rPr>
        <w:t>、城乡社区（类）城乡社区管理事务（款）一般行政管理事务（项）。</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444</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343.38</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77.34</w:t>
      </w:r>
      <w:r>
        <w:rPr>
          <w:rFonts w:hint="eastAsia" w:asciiTheme="minorEastAsia" w:hAnsiTheme="minorEastAsia" w:eastAsiaTheme="minorEastAsia"/>
          <w:sz w:val="32"/>
          <w:szCs w:val="32"/>
        </w:rPr>
        <w:t>%，决算数小于年初预算数的主要原因是：预算的功能代码与财政下指标的功能代码不一样，导致决算与预算功能科目金额不一样。</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24</w:t>
      </w:r>
      <w:r>
        <w:rPr>
          <w:rFonts w:hint="eastAsia" w:asciiTheme="minorEastAsia" w:hAnsiTheme="minorEastAsia" w:eastAsiaTheme="minorEastAsia"/>
          <w:sz w:val="32"/>
          <w:szCs w:val="32"/>
        </w:rPr>
        <w:t>、城乡社区（类）城乡社区管理事务（款）城管执法（项）。</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37.28</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%，决算数小于年初预算数的主要原因是：预算的功能代码与财政下指标的功能代码不一样，导致决算与预算功能科目金额不一样。</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25</w:t>
      </w:r>
      <w:r>
        <w:rPr>
          <w:rFonts w:hint="eastAsia" w:asciiTheme="minorEastAsia" w:hAnsiTheme="minorEastAsia" w:eastAsiaTheme="minorEastAsia"/>
          <w:sz w:val="32"/>
          <w:szCs w:val="32"/>
        </w:rPr>
        <w:t>、城乡社区（类）城乡社区管理事务（款）其他城乡社区管理事务支出（项）。</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3.98</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46</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1155.78</w:t>
      </w:r>
      <w:r>
        <w:rPr>
          <w:rFonts w:hint="eastAsia" w:asciiTheme="minorEastAsia" w:hAnsiTheme="minorEastAsia" w:eastAsiaTheme="minorEastAsia"/>
          <w:sz w:val="32"/>
          <w:szCs w:val="32"/>
        </w:rPr>
        <w:t>%，决算数小于年初预算数的主要原因是：预算的功能代码与财政下指标的功能代码不一样，导致决算与预算功能科目金额不一样。</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26</w:t>
      </w:r>
      <w:r>
        <w:rPr>
          <w:rFonts w:hint="eastAsia" w:asciiTheme="minorEastAsia" w:hAnsiTheme="minorEastAsia" w:eastAsiaTheme="minorEastAsia"/>
          <w:sz w:val="32"/>
          <w:szCs w:val="32"/>
        </w:rPr>
        <w:t>、城乡社区（类）城乡社区环境卫生（款）城乡社区环境卫生（项）。</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22</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%，决算数小于年初预算数的主要原因是：预算的功能代码与财政下指标的功能代码不一样，导致决算与预算功能科目金额不一样。</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27</w:t>
      </w:r>
      <w:r>
        <w:rPr>
          <w:rFonts w:hint="eastAsia" w:asciiTheme="minorEastAsia" w:hAnsiTheme="minorEastAsia" w:eastAsiaTheme="minorEastAsia"/>
          <w:sz w:val="32"/>
          <w:szCs w:val="32"/>
        </w:rPr>
        <w:t>、住房保障支出（类）住房改革支出（款）住房公积金（项）。</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71.65</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22.78</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31.79</w:t>
      </w:r>
      <w:r>
        <w:rPr>
          <w:rFonts w:hint="eastAsia" w:asciiTheme="minorEastAsia" w:hAnsiTheme="minorEastAsia" w:eastAsiaTheme="minorEastAsia"/>
          <w:sz w:val="32"/>
          <w:szCs w:val="32"/>
        </w:rPr>
        <w:t>%，决算数小于年初预算数的主要原因是：预算的功能代码与财政下指标的功能代码不一样，导致决算与预算功能科目金额不一样。</w:t>
      </w:r>
    </w:p>
    <w:p>
      <w:pPr>
        <w:pStyle w:val="10"/>
        <w:rPr>
          <w:rFonts w:hAnsi="黑体"/>
          <w:b/>
          <w:sz w:val="32"/>
          <w:szCs w:val="32"/>
        </w:rPr>
      </w:pPr>
      <w:r>
        <w:rPr>
          <w:rFonts w:hint="eastAsia" w:hAnsi="黑体"/>
          <w:b/>
          <w:sz w:val="32"/>
          <w:szCs w:val="32"/>
        </w:rPr>
        <w:t>六、一般公共预算财政拨款基本支出决算情况说明</w:t>
      </w:r>
    </w:p>
    <w:p>
      <w:pPr>
        <w:pStyle w:val="10"/>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2020年度财政拨款基本支出1510.16万元，其中：人员经费1280.8万元，占基本支出的</w:t>
      </w:r>
      <w:r>
        <w:rPr>
          <w:rFonts w:hint="eastAsia" w:asciiTheme="minorEastAsia" w:hAnsiTheme="minorEastAsia" w:eastAsiaTheme="minorEastAsia"/>
          <w:sz w:val="32"/>
          <w:szCs w:val="32"/>
          <w:lang w:val="en-US" w:eastAsia="zh-CN"/>
        </w:rPr>
        <w:t>84.81</w:t>
      </w:r>
      <w:r>
        <w:rPr>
          <w:rFonts w:hint="eastAsia" w:asciiTheme="minorEastAsia" w:hAnsiTheme="minorEastAsia" w:eastAsiaTheme="minorEastAsia"/>
          <w:sz w:val="32"/>
          <w:szCs w:val="32"/>
        </w:rPr>
        <w:t>%,主要包括基本工资、津贴补贴、奖金、伙食补助费机关事业单位基本养老保险缴费、职工基本医疗保险缴费、住房公积金、其他工资福利支出、抚恤金</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生活补助、救济费、奖励金；公用经费229.36万元，占基本支出的</w:t>
      </w:r>
      <w:r>
        <w:rPr>
          <w:rFonts w:hint="eastAsia" w:asciiTheme="minorEastAsia" w:hAnsiTheme="minorEastAsia" w:eastAsiaTheme="minorEastAsia"/>
          <w:sz w:val="32"/>
          <w:szCs w:val="32"/>
          <w:lang w:val="en-US" w:eastAsia="zh-CN"/>
        </w:rPr>
        <w:t>15.19</w:t>
      </w:r>
      <w:r>
        <w:rPr>
          <w:rFonts w:hint="eastAsia" w:asciiTheme="minorEastAsia" w:hAnsiTheme="minorEastAsia" w:eastAsiaTheme="minorEastAsia"/>
          <w:sz w:val="32"/>
          <w:szCs w:val="32"/>
        </w:rPr>
        <w:t>%，主要包括办公费、印刷费、咨询费、水费、电费、邮电费、差旅费、维修（护）、租赁费</w:t>
      </w:r>
      <w:r>
        <w:rPr>
          <w:rFonts w:hint="eastAsia" w:asciiTheme="minorEastAsia" w:hAnsiTheme="minorEastAsia" w:eastAsiaTheme="minorEastAsia"/>
          <w:sz w:val="32"/>
          <w:szCs w:val="32"/>
          <w:lang w:eastAsia="zh-CN"/>
        </w:rPr>
        <w:t>、专用材料费、劳务费、</w:t>
      </w:r>
      <w:r>
        <w:rPr>
          <w:rFonts w:hint="eastAsia" w:asciiTheme="minorEastAsia" w:hAnsiTheme="minorEastAsia" w:eastAsiaTheme="minorEastAsia"/>
          <w:sz w:val="32"/>
          <w:szCs w:val="32"/>
        </w:rPr>
        <w:t>工会经费等</w:t>
      </w:r>
      <w:r>
        <w:rPr>
          <w:rFonts w:hint="eastAsia" w:asciiTheme="minorEastAsia" w:hAnsiTheme="minorEastAsia" w:eastAsiaTheme="minorEastAsia"/>
          <w:sz w:val="32"/>
          <w:szCs w:val="32"/>
          <w:lang w:eastAsia="zh-CN"/>
        </w:rPr>
        <w:t>。</w:t>
      </w:r>
    </w:p>
    <w:p>
      <w:pPr>
        <w:pStyle w:val="10"/>
        <w:rPr>
          <w:rFonts w:hAnsi="黑体"/>
          <w:b/>
          <w:sz w:val="32"/>
          <w:szCs w:val="32"/>
        </w:rPr>
      </w:pPr>
      <w:r>
        <w:rPr>
          <w:rFonts w:hint="eastAsia" w:hAnsi="黑体"/>
          <w:b/>
          <w:sz w:val="32"/>
          <w:szCs w:val="32"/>
        </w:rPr>
        <w:t>七、一般公共预算财政拨款三公经费支出决算情况说明</w:t>
      </w:r>
    </w:p>
    <w:p>
      <w:pPr>
        <w:pStyle w:val="10"/>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“三公”经费财政拨款支出预算为</w:t>
      </w:r>
      <w:r>
        <w:rPr>
          <w:rFonts w:hint="eastAsia" w:asciiTheme="minorEastAsia" w:hAnsiTheme="minorEastAsia" w:eastAsiaTheme="minorEastAsia"/>
          <w:sz w:val="32"/>
          <w:szCs w:val="32"/>
          <w:lang w:val="en-US" w:eastAsia="zh-CN"/>
        </w:rPr>
        <w:t>7.35</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%，其中：</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因公出国（境）费支出预算为0万元，支出决算为0万元，完成预算的0%，与上年相比减少（增加）0万元，减少（增长）0%。</w:t>
      </w:r>
    </w:p>
    <w:p>
      <w:pPr>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公务接待费支出预算为</w:t>
      </w:r>
      <w:r>
        <w:rPr>
          <w:rFonts w:hint="eastAsia" w:asciiTheme="minorEastAsia" w:hAnsiTheme="minorEastAsia" w:eastAsiaTheme="minorEastAsia"/>
          <w:sz w:val="32"/>
          <w:szCs w:val="32"/>
          <w:lang w:val="en-US" w:eastAsia="zh-CN"/>
        </w:rPr>
        <w:t>3.35</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%，决算数小于预算数的主要原因是根据中央厉行节约八项规定减少，与上年相比减少</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%,减少的主要原因是</w:t>
      </w:r>
      <w:r>
        <w:rPr>
          <w:rFonts w:hint="eastAsia" w:asciiTheme="minorEastAsia" w:hAnsiTheme="minorEastAsia"/>
          <w:sz w:val="32"/>
          <w:szCs w:val="32"/>
        </w:rPr>
        <w:t>根据中央厉行节约八项规定减少</w:t>
      </w:r>
      <w:r>
        <w:rPr>
          <w:rFonts w:hint="eastAsia" w:asciiTheme="minorEastAsia" w:hAnsiTheme="minorEastAsia" w:eastAsiaTheme="minorEastAsia"/>
          <w:sz w:val="32"/>
          <w:szCs w:val="32"/>
        </w:rPr>
        <w:t>。</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公务用车购置费及运行维护费支出预算为</w:t>
      </w:r>
      <w:r>
        <w:rPr>
          <w:rFonts w:hint="eastAsia" w:asciiTheme="minorEastAsia" w:hAnsiTheme="minorEastAsia" w:eastAsiaTheme="minorEastAsia"/>
          <w:sz w:val="32"/>
          <w:szCs w:val="32"/>
          <w:lang w:val="en-US" w:eastAsia="zh-CN"/>
        </w:rPr>
        <w:t>4</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%，决算数小于年初预算数的主要原因是根据中央厉行节约八项规定减少，与上年相比减少</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万元，减少0%,减少的主要原因是根据中央厉行节约八项规定减少。</w:t>
      </w:r>
    </w:p>
    <w:p>
      <w:pPr>
        <w:pStyle w:val="10"/>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ind w:firstLine="800" w:firstLineChars="250"/>
        <w:rPr>
          <w:rFonts w:cs="黑体" w:asciiTheme="minorEastAsia" w:hAnsiTheme="minorEastAsia"/>
          <w:color w:val="000000"/>
          <w:kern w:val="0"/>
          <w:sz w:val="32"/>
          <w:szCs w:val="32"/>
        </w:rPr>
      </w:pPr>
      <w:r>
        <w:rPr>
          <w:rFonts w:hint="eastAsia" w:asciiTheme="minorEastAsia" w:hAnsiTheme="minorEastAsia"/>
          <w:sz w:val="32"/>
          <w:szCs w:val="32"/>
        </w:rPr>
        <w:t>20</w:t>
      </w:r>
      <w:r>
        <w:rPr>
          <w:rFonts w:hint="eastAsia" w:asciiTheme="minorEastAsia" w:hAnsiTheme="minorEastAsia"/>
          <w:sz w:val="32"/>
          <w:szCs w:val="32"/>
          <w:lang w:val="en-US" w:eastAsia="zh-CN"/>
        </w:rPr>
        <w:t>20</w:t>
      </w:r>
      <w:r>
        <w:rPr>
          <w:rFonts w:hint="eastAsia" w:asciiTheme="minorEastAsia" w:hAnsiTheme="minorEastAsia"/>
          <w:sz w:val="32"/>
          <w:szCs w:val="32"/>
        </w:rPr>
        <w:t>年度“三公”经费财政拨款支出决算中，公务接待费支出决算0万元，占0%,因公出国（境）费支出决算0万元，占0%,公务用车购置费及运行维护费支出决算0万元，占0%。</w:t>
      </w:r>
    </w:p>
    <w:p>
      <w:pPr>
        <w:pStyle w:val="10"/>
        <w:rPr>
          <w:rFonts w:hAnsi="黑体"/>
          <w:b/>
          <w:sz w:val="32"/>
          <w:szCs w:val="32"/>
        </w:rPr>
      </w:pPr>
      <w:r>
        <w:rPr>
          <w:rFonts w:hint="eastAsia" w:hAnsi="黑体"/>
          <w:b/>
          <w:sz w:val="32"/>
          <w:szCs w:val="32"/>
        </w:rPr>
        <w:t>八、政府性基金预算收入支出决算情况</w:t>
      </w:r>
    </w:p>
    <w:p>
      <w:pPr>
        <w:pStyle w:val="10"/>
        <w:rPr>
          <w:rFonts w:asciiTheme="minorEastAsia" w:hAnsiTheme="minorEastAsia" w:eastAsiaTheme="minorEastAsia"/>
          <w:sz w:val="32"/>
          <w:szCs w:val="32"/>
        </w:rPr>
      </w:pPr>
      <w:r>
        <w:rPr>
          <w:rFonts w:hint="eastAsia" w:asciiTheme="minorEastAsia" w:hAnsiTheme="minorEastAsia" w:eastAsiaTheme="minorEastAsia"/>
          <w:sz w:val="32"/>
          <w:szCs w:val="32"/>
        </w:rPr>
        <w:t xml:space="preserve">     20</w:t>
      </w:r>
      <w:r>
        <w:rPr>
          <w:rFonts w:hint="eastAsia" w:asciiTheme="minorEastAsia" w:hAnsiTheme="minorEastAsia" w:eastAsiaTheme="minorEastAsia"/>
          <w:sz w:val="32"/>
          <w:szCs w:val="32"/>
          <w:lang w:val="en-US" w:eastAsia="zh-CN"/>
        </w:rPr>
        <w:t>20</w:t>
      </w:r>
      <w:r>
        <w:rPr>
          <w:rFonts w:hint="eastAsia" w:asciiTheme="minorEastAsia" w:hAnsiTheme="minorEastAsia" w:eastAsiaTheme="minorEastAsia"/>
          <w:sz w:val="32"/>
          <w:szCs w:val="32"/>
        </w:rPr>
        <w:t>年度政府性基金预算财政拨款收入0万元；年初结转和结余0万元；支出0万元，其中基本支出0万元，项目支出0万元；年末结转和结余0万元。</w:t>
      </w:r>
    </w:p>
    <w:p>
      <w:pPr>
        <w:pStyle w:val="10"/>
        <w:rPr>
          <w:rFonts w:asciiTheme="minorEastAsia" w:hAnsiTheme="minorEastAsia" w:eastAsiaTheme="minorEastAsia"/>
          <w:sz w:val="32"/>
          <w:szCs w:val="32"/>
        </w:rPr>
      </w:pPr>
      <w:r>
        <w:rPr>
          <w:rFonts w:hint="eastAsia" w:asciiTheme="minorEastAsia" w:hAnsiTheme="minorEastAsia" w:eastAsiaTheme="minorEastAsia"/>
          <w:sz w:val="32"/>
          <w:szCs w:val="32"/>
        </w:rPr>
        <w:t xml:space="preserve">    本单位无政府性基金收支。</w:t>
      </w:r>
    </w:p>
    <w:p>
      <w:pPr>
        <w:pStyle w:val="10"/>
        <w:rPr>
          <w:rFonts w:hAnsi="黑体"/>
          <w:b/>
          <w:sz w:val="32"/>
          <w:szCs w:val="32"/>
        </w:rPr>
      </w:pPr>
      <w:r>
        <w:rPr>
          <w:rFonts w:hint="eastAsia" w:hAnsi="黑体"/>
          <w:b/>
          <w:sz w:val="32"/>
          <w:szCs w:val="32"/>
        </w:rPr>
        <w:t>九、关于机关运行经费支出说明</w:t>
      </w:r>
    </w:p>
    <w:p>
      <w:pPr>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本部门2020年度机关运行经费支出</w:t>
      </w:r>
      <w:r>
        <w:rPr>
          <w:rFonts w:hint="eastAsia" w:asciiTheme="minorEastAsia" w:hAnsiTheme="minorEastAsia" w:eastAsiaTheme="minorEastAsia"/>
          <w:sz w:val="32"/>
          <w:szCs w:val="32"/>
          <w:lang w:val="en-US" w:eastAsia="zh-CN"/>
        </w:rPr>
        <w:t>229.36</w:t>
      </w:r>
      <w:r>
        <w:rPr>
          <w:rFonts w:hint="eastAsia" w:asciiTheme="minorEastAsia" w:hAnsiTheme="minorEastAsia" w:eastAsiaTheme="minorEastAsia"/>
          <w:sz w:val="32"/>
          <w:szCs w:val="32"/>
        </w:rPr>
        <w:t>万元，比年初预算数减少</w:t>
      </w:r>
      <w:r>
        <w:rPr>
          <w:rFonts w:hint="eastAsia" w:asciiTheme="minorEastAsia" w:hAnsiTheme="minorEastAsia" w:eastAsiaTheme="minorEastAsia"/>
          <w:sz w:val="32"/>
          <w:szCs w:val="32"/>
          <w:lang w:val="en-US" w:eastAsia="zh-CN"/>
        </w:rPr>
        <w:t>139.29</w:t>
      </w:r>
      <w:r>
        <w:rPr>
          <w:rFonts w:hint="eastAsia" w:asciiTheme="minorEastAsia" w:hAnsiTheme="minorEastAsia" w:eastAsiaTheme="minorEastAsia"/>
          <w:sz w:val="32"/>
          <w:szCs w:val="32"/>
        </w:rPr>
        <w:t xml:space="preserve"> 万元，降低</w:t>
      </w:r>
      <w:r>
        <w:rPr>
          <w:rFonts w:hint="eastAsia" w:asciiTheme="minorEastAsia" w:hAnsiTheme="minorEastAsia" w:eastAsiaTheme="minorEastAsia"/>
          <w:sz w:val="32"/>
          <w:szCs w:val="32"/>
          <w:lang w:val="en-US" w:eastAsia="zh-CN"/>
        </w:rPr>
        <w:t>37.78</w:t>
      </w:r>
      <w:r>
        <w:rPr>
          <w:rFonts w:hint="eastAsia" w:asciiTheme="minorEastAsia" w:hAnsiTheme="minorEastAsia" w:eastAsiaTheme="minorEastAsia"/>
          <w:sz w:val="32"/>
          <w:szCs w:val="32"/>
        </w:rPr>
        <w:t>%。主要原因是：</w:t>
      </w:r>
      <w:r>
        <w:rPr>
          <w:rFonts w:hint="eastAsia" w:asciiTheme="minorEastAsia" w:hAnsiTheme="minorEastAsia"/>
          <w:sz w:val="32"/>
          <w:szCs w:val="32"/>
        </w:rPr>
        <w:t>是根据中央厉行节约八项规定减少</w:t>
      </w:r>
      <w:r>
        <w:rPr>
          <w:rFonts w:hint="eastAsia" w:asciiTheme="minorEastAsia" w:hAnsiTheme="minorEastAsia" w:eastAsiaTheme="minorEastAsia"/>
          <w:sz w:val="32"/>
          <w:szCs w:val="32"/>
        </w:rPr>
        <w:t>。</w:t>
      </w:r>
    </w:p>
    <w:p>
      <w:pPr>
        <w:pStyle w:val="10"/>
        <w:rPr>
          <w:rFonts w:hAnsi="黑体"/>
          <w:b/>
          <w:sz w:val="32"/>
          <w:szCs w:val="32"/>
        </w:rPr>
      </w:pPr>
      <w:r>
        <w:rPr>
          <w:rFonts w:hint="eastAsia" w:hAnsi="黑体"/>
          <w:b/>
          <w:sz w:val="32"/>
          <w:szCs w:val="32"/>
        </w:rPr>
        <w:t>十、一般性支出情况</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2020年本部门开支会议费</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万元，用于召开</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会议，人数</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人，内容为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；开支培训费</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万元，用于开展</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培训，人数</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人，内容为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；举办</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等节庆、晚会、论坛、赛事活动，开支</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p>
    <w:p>
      <w:pPr>
        <w:pStyle w:val="10"/>
        <w:rPr>
          <w:rFonts w:hAnsi="黑体"/>
          <w:b/>
          <w:sz w:val="32"/>
          <w:szCs w:val="32"/>
        </w:rPr>
      </w:pPr>
      <w:r>
        <w:rPr>
          <w:rFonts w:hint="eastAsia" w:hAnsi="黑体"/>
          <w:b/>
          <w:sz w:val="32"/>
          <w:szCs w:val="32"/>
        </w:rPr>
        <w:t>十一、关于政府采购支出说明</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本部门2020年度政府采购支出总额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p>
    <w:p>
      <w:pPr>
        <w:pStyle w:val="10"/>
        <w:rPr>
          <w:rFonts w:hAnsi="黑体"/>
          <w:b/>
          <w:sz w:val="32"/>
          <w:szCs w:val="32"/>
        </w:rPr>
      </w:pPr>
      <w:r>
        <w:rPr>
          <w:rFonts w:hint="eastAsia" w:hAnsi="黑体"/>
          <w:b/>
          <w:sz w:val="32"/>
          <w:szCs w:val="32"/>
        </w:rPr>
        <w:t>十二、关于国有资产占用情况说明</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截至2020年12月31日，本单位共有车辆</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w:t>
      </w:r>
    </w:p>
    <w:p>
      <w:pPr>
        <w:pStyle w:val="10"/>
        <w:rPr>
          <w:rFonts w:hAnsi="黑体"/>
          <w:b/>
          <w:sz w:val="32"/>
          <w:szCs w:val="32"/>
        </w:rPr>
      </w:pPr>
      <w:r>
        <w:rPr>
          <w:rFonts w:hint="eastAsia" w:hAnsi="黑体"/>
          <w:b/>
          <w:sz w:val="32"/>
          <w:szCs w:val="32"/>
        </w:rPr>
        <w:t>十三、关于2020年度预算绩效情况的说明</w:t>
      </w:r>
    </w:p>
    <w:p>
      <w:pPr>
        <w:pStyle w:val="10"/>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lang w:eastAsia="zh-CN"/>
        </w:rPr>
        <w:t>我</w:t>
      </w:r>
      <w:r>
        <w:rPr>
          <w:rFonts w:hint="eastAsia" w:asciiTheme="minorEastAsia" w:hAnsiTheme="minorEastAsia" w:eastAsiaTheme="minorEastAsia"/>
          <w:sz w:val="32"/>
          <w:szCs w:val="32"/>
          <w:lang w:val="en-US" w:eastAsia="zh-CN"/>
        </w:rPr>
        <w:t>街道</w:t>
      </w:r>
      <w:r>
        <w:rPr>
          <w:rFonts w:hint="eastAsia" w:asciiTheme="minorEastAsia" w:hAnsiTheme="minorEastAsia" w:eastAsiaTheme="minorEastAsia"/>
          <w:sz w:val="32"/>
          <w:szCs w:val="32"/>
          <w:lang w:eastAsia="zh-CN"/>
        </w:rPr>
        <w:t>严格按照年初预算执行。在收到财政下达的各类款项后，按照资金用途，依据预算执行计划，及时拨付各项资金。</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针对项目资金，从源头入手，落实责任，完善制度，合理使用，加强监管，注重宣传，确保项目资金的管理使用高效率。一是加强领导，增强责任制意识。二是加强资金管理制度建设。结合单位实际，将各项经济活动划分到具体工作岗位，按照岗位确定任务、职责和权限，贯彻执行所制订的相关财务制度，加强制度执行的监督，使专项资金的财务管理有章可循。三是加强资金支出管理。坚持“专项核算、专人管理、专款专用”的原则，严禁挤占、挪用专项资金。</w:t>
      </w:r>
    </w:p>
    <w:p>
      <w:pPr>
        <w:pStyle w:val="10"/>
        <w:ind w:firstLine="640" w:firstLineChars="200"/>
        <w:rPr>
          <w:rFonts w:asciiTheme="minorEastAsia" w:hAnsiTheme="minorEastAsia" w:eastAsiaTheme="minorEastAsia"/>
          <w:sz w:val="32"/>
          <w:szCs w:val="32"/>
        </w:rPr>
      </w:pPr>
      <w:r>
        <w:rPr>
          <w:rFonts w:asciiTheme="minorEastAsia" w:hAnsiTheme="minorEastAsia" w:eastAsiaTheme="minorEastAsia"/>
          <w:sz w:val="32"/>
          <w:szCs w:val="32"/>
        </w:rPr>
        <w:t>预算支出绩效目标完成程度</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社区工作经费保障了社区工作正常开展,保障人员工资及经费开支，保障辖区内各项工作的正常工作。服务辖区居民，促进了辖区内的和谐发展。人大基层平台建设经费推进基层人大服务平台建设，更好的服务群众。法律顾问费提高了本单位的人员的法律知识，及合同文书的质量。</w:t>
      </w:r>
    </w:p>
    <w:p>
      <w:pPr>
        <w:pStyle w:val="10"/>
        <w:rPr>
          <w:rFonts w:asciiTheme="minorEastAsia" w:hAnsiTheme="minorEastAsia" w:eastAsiaTheme="minorEastAsia"/>
          <w:sz w:val="32"/>
          <w:szCs w:val="32"/>
        </w:rPr>
      </w:pPr>
    </w:p>
    <w:p>
      <w:pPr>
        <w:spacing w:line="600" w:lineRule="exact"/>
        <w:jc w:val="center"/>
        <w:rPr>
          <w:rFonts w:hint="eastAsia" w:eastAsia="方正小标宋_GBK"/>
          <w:sz w:val="36"/>
          <w:szCs w:val="36"/>
          <w:lang w:val="en-US" w:eastAsia="zh-CN"/>
        </w:rPr>
      </w:pPr>
      <w:r>
        <w:rPr>
          <w:rFonts w:hint="eastAsia" w:eastAsia="方正小标宋_GBK"/>
          <w:sz w:val="36"/>
          <w:szCs w:val="36"/>
          <w:lang w:eastAsia="zh-CN"/>
        </w:rPr>
        <w:t>怀化市鹤城区</w:t>
      </w:r>
      <w:r>
        <w:rPr>
          <w:rFonts w:hint="eastAsia" w:eastAsia="方正小标宋_GBK"/>
          <w:sz w:val="36"/>
          <w:szCs w:val="36"/>
          <w:lang w:val="en-US" w:eastAsia="zh-CN"/>
        </w:rPr>
        <w:t>迎丰街道办事处</w:t>
      </w:r>
    </w:p>
    <w:p>
      <w:pPr>
        <w:spacing w:line="600" w:lineRule="exact"/>
        <w:jc w:val="center"/>
        <w:rPr>
          <w:rFonts w:eastAsia="方正小标宋_GBK"/>
          <w:sz w:val="36"/>
          <w:szCs w:val="36"/>
        </w:rPr>
      </w:pPr>
      <w:r>
        <w:rPr>
          <w:rFonts w:eastAsia="方正小标宋_GBK"/>
          <w:sz w:val="36"/>
          <w:szCs w:val="36"/>
        </w:rPr>
        <w:t>预算支出绩效评价报告</w:t>
      </w:r>
    </w:p>
    <w:p>
      <w:pPr>
        <w:spacing w:line="360" w:lineRule="exact"/>
        <w:rPr>
          <w:rFonts w:eastAsia="黑体"/>
          <w:kern w:val="0"/>
          <w:sz w:val="32"/>
          <w:szCs w:val="32"/>
        </w:rPr>
      </w:pPr>
    </w:p>
    <w:p>
      <w:pPr>
        <w:spacing w:line="600" w:lineRule="exact"/>
        <w:ind w:firstLine="640" w:firstLineChars="200"/>
        <w:rPr>
          <w:rFonts w:eastAsia="黑体"/>
          <w:sz w:val="32"/>
          <w:szCs w:val="32"/>
        </w:rPr>
      </w:pPr>
      <w:r>
        <w:rPr>
          <w:rFonts w:eastAsia="黑体"/>
          <w:sz w:val="32"/>
          <w:szCs w:val="32"/>
        </w:rPr>
        <w:t>一、预算支出基本情况</w:t>
      </w:r>
    </w:p>
    <w:p>
      <w:pPr>
        <w:spacing w:line="600" w:lineRule="exact"/>
        <w:ind w:firstLine="640" w:firstLineChars="200"/>
        <w:rPr>
          <w:rFonts w:eastAsia="仿宋_GB2312"/>
          <w:sz w:val="32"/>
          <w:szCs w:val="32"/>
        </w:rPr>
      </w:pPr>
      <w:r>
        <w:rPr>
          <w:rFonts w:eastAsia="楷体_GB2312"/>
          <w:b/>
          <w:sz w:val="32"/>
          <w:szCs w:val="32"/>
        </w:rPr>
        <w:t>（一）预算支出概况。</w:t>
      </w:r>
    </w:p>
    <w:p>
      <w:pPr>
        <w:spacing w:line="600" w:lineRule="exact"/>
        <w:ind w:firstLine="640" w:firstLineChars="200"/>
      </w:pPr>
      <w:r>
        <w:rPr>
          <w:rFonts w:hint="eastAsia" w:eastAsia="仿宋_GB2312"/>
          <w:sz w:val="32"/>
          <w:szCs w:val="32"/>
          <w:lang w:val="en-US" w:eastAsia="zh-CN"/>
        </w:rPr>
        <w:t>2020年迎丰街道办事处预算支出</w:t>
      </w:r>
      <w:r>
        <w:rPr>
          <w:rFonts w:hint="eastAsia" w:ascii="仿宋_GB2312" w:eastAsia="仿宋_GB2312"/>
          <w:sz w:val="32"/>
          <w:szCs w:val="32"/>
          <w:lang w:val="en-US" w:eastAsia="zh-CN"/>
        </w:rPr>
        <w:t>1826.28</w:t>
      </w:r>
      <w:r>
        <w:rPr>
          <w:rFonts w:hint="eastAsia" w:eastAsia="仿宋_GB2312"/>
          <w:sz w:val="32"/>
          <w:szCs w:val="32"/>
          <w:lang w:val="en-US" w:eastAsia="zh-CN"/>
        </w:rPr>
        <w:t>万元，其中人员支出</w:t>
      </w:r>
      <w:r>
        <w:rPr>
          <w:rFonts w:hint="eastAsia" w:ascii="仿宋" w:hAnsi="仿宋" w:eastAsia="仿宋"/>
          <w:sz w:val="32"/>
          <w:szCs w:val="32"/>
          <w:lang w:val="en-US" w:eastAsia="zh-CN"/>
        </w:rPr>
        <w:t>1002.63</w:t>
      </w:r>
      <w:r>
        <w:rPr>
          <w:rFonts w:hint="eastAsia" w:eastAsia="仿宋_GB2312"/>
          <w:sz w:val="32"/>
          <w:szCs w:val="32"/>
          <w:lang w:val="en-US" w:eastAsia="zh-CN"/>
        </w:rPr>
        <w:t>万元，公用经费支出</w:t>
      </w:r>
      <w:r>
        <w:rPr>
          <w:rFonts w:hint="eastAsia" w:ascii="仿宋" w:hAnsi="仿宋" w:eastAsia="仿宋"/>
          <w:sz w:val="32"/>
          <w:szCs w:val="32"/>
          <w:lang w:val="en-US" w:eastAsia="zh-CN"/>
        </w:rPr>
        <w:t>368.65</w:t>
      </w:r>
      <w:r>
        <w:rPr>
          <w:rFonts w:hint="eastAsia" w:eastAsia="仿宋_GB2312"/>
          <w:sz w:val="32"/>
          <w:szCs w:val="32"/>
          <w:lang w:val="en-US" w:eastAsia="zh-CN"/>
        </w:rPr>
        <w:t>万元，项目支出</w:t>
      </w:r>
      <w:r>
        <w:rPr>
          <w:rFonts w:hint="eastAsia" w:ascii="仿宋" w:hAnsi="仿宋" w:eastAsia="仿宋"/>
          <w:sz w:val="32"/>
          <w:szCs w:val="32"/>
          <w:lang w:val="en-US" w:eastAsia="zh-CN"/>
        </w:rPr>
        <w:t>455</w:t>
      </w:r>
      <w:r>
        <w:rPr>
          <w:rFonts w:hint="eastAsia" w:eastAsia="仿宋_GB2312"/>
          <w:sz w:val="32"/>
          <w:szCs w:val="32"/>
          <w:lang w:val="en-US" w:eastAsia="zh-CN"/>
        </w:rPr>
        <w:t>万元。</w:t>
      </w:r>
    </w:p>
    <w:p>
      <w:pPr>
        <w:numPr>
          <w:ilvl w:val="0"/>
          <w:numId w:val="2"/>
        </w:numPr>
        <w:spacing w:line="600" w:lineRule="exact"/>
        <w:ind w:firstLine="640" w:firstLineChars="200"/>
        <w:rPr>
          <w:rFonts w:eastAsia="仿宋_GB2312"/>
          <w:sz w:val="32"/>
          <w:szCs w:val="32"/>
        </w:rPr>
      </w:pPr>
      <w:r>
        <w:rPr>
          <w:rFonts w:eastAsia="楷体_GB2312"/>
          <w:b/>
          <w:sz w:val="32"/>
          <w:szCs w:val="32"/>
        </w:rPr>
        <w:t>预算资金使用管理情况。</w:t>
      </w:r>
    </w:p>
    <w:p>
      <w:pPr>
        <w:spacing w:line="600" w:lineRule="exact"/>
        <w:ind w:firstLine="640" w:firstLineChars="200"/>
        <w:rPr>
          <w:rFonts w:hint="eastAsia" w:eastAsia="仿宋_GB2312"/>
          <w:sz w:val="32"/>
          <w:szCs w:val="32"/>
          <w:lang w:eastAsia="zh-CN"/>
        </w:rPr>
      </w:pPr>
      <w:r>
        <w:rPr>
          <w:rFonts w:hint="eastAsia" w:eastAsia="仿宋_GB2312"/>
          <w:sz w:val="32"/>
          <w:szCs w:val="32"/>
          <w:lang w:eastAsia="zh-CN"/>
        </w:rPr>
        <w:t>我</w:t>
      </w:r>
      <w:r>
        <w:rPr>
          <w:rFonts w:hint="eastAsia" w:eastAsia="仿宋_GB2312"/>
          <w:sz w:val="32"/>
          <w:szCs w:val="32"/>
          <w:lang w:val="en-US" w:eastAsia="zh-CN"/>
        </w:rPr>
        <w:t>街道</w:t>
      </w:r>
      <w:r>
        <w:rPr>
          <w:rFonts w:hint="eastAsia" w:eastAsia="仿宋_GB2312"/>
          <w:sz w:val="32"/>
          <w:szCs w:val="32"/>
          <w:lang w:eastAsia="zh-CN"/>
        </w:rPr>
        <w:t>严格按照年初预算执行。在收到财政下达的各类款项后，按照资金用途，依据预算执行计划，及时拨付各项资金。</w:t>
      </w:r>
    </w:p>
    <w:p>
      <w:pPr>
        <w:spacing w:line="600" w:lineRule="exact"/>
        <w:ind w:firstLine="640" w:firstLineChars="200"/>
      </w:pPr>
      <w:r>
        <w:rPr>
          <w:rFonts w:hint="eastAsia" w:eastAsia="仿宋_GB2312"/>
          <w:sz w:val="32"/>
          <w:szCs w:val="32"/>
          <w:lang w:val="en-US" w:eastAsia="zh-CN"/>
        </w:rPr>
        <w:t>针对项目资金，从源头入手，落实责任，完善制度，合理使用，加强监管，注重宣传，确保项目资金的管理使用高效率。一是加强领导，增强责任制意识。二是加强资金管理制度建设。结合单位实际，将各项经济活动划分到具体工作岗位，按照岗位确定任务、职责和权限，贯彻执行所制订的相关财务制度，加强制度执行的监督，使专项资金的财务管理有章可循。三是加强资金支出管理。坚持“专项核算、专人管理、专款专用”的原则，严禁挤占、挪用专项资金。</w:t>
      </w:r>
    </w:p>
    <w:p>
      <w:pPr>
        <w:numPr>
          <w:ilvl w:val="0"/>
          <w:numId w:val="2"/>
        </w:numPr>
        <w:spacing w:line="600" w:lineRule="exact"/>
        <w:ind w:left="0" w:leftChars="0" w:firstLine="640" w:firstLineChars="200"/>
        <w:rPr>
          <w:rFonts w:eastAsia="仿宋_GB2312"/>
          <w:sz w:val="32"/>
          <w:szCs w:val="32"/>
        </w:rPr>
      </w:pPr>
      <w:r>
        <w:rPr>
          <w:rFonts w:eastAsia="楷体_GB2312"/>
          <w:b/>
          <w:sz w:val="32"/>
          <w:szCs w:val="32"/>
        </w:rPr>
        <w:t>预算支出绩效目标完成程度。</w:t>
      </w:r>
      <w:r>
        <w:rPr>
          <w:rFonts w:hint="eastAsia" w:eastAsia="仿宋_GB2312"/>
          <w:sz w:val="32"/>
          <w:szCs w:val="32"/>
        </w:rPr>
        <w:t>社区工作经费保障了社区工作正常开展,保障人员工资及经费开支，保障辖区内各项工作的正常工作。服务辖区居民，促进了辖区内的和谐发展。人大基层平台建设经费推进基层人大服务平台建设，更好的服务群众。法律顾问费提高了本单位的人员的法律知识，及合同文书的质量。</w:t>
      </w:r>
    </w:p>
    <w:p>
      <w:pPr>
        <w:numPr>
          <w:ilvl w:val="0"/>
          <w:numId w:val="3"/>
        </w:numPr>
        <w:spacing w:line="600" w:lineRule="exact"/>
        <w:ind w:left="640" w:leftChars="0" w:firstLine="0" w:firstLineChars="0"/>
        <w:rPr>
          <w:rFonts w:eastAsia="黑体"/>
          <w:sz w:val="32"/>
          <w:szCs w:val="32"/>
        </w:rPr>
      </w:pPr>
      <w:r>
        <w:rPr>
          <w:rFonts w:eastAsia="黑体"/>
          <w:sz w:val="32"/>
          <w:szCs w:val="32"/>
        </w:rPr>
        <w:t>绩效评价工作情况</w:t>
      </w:r>
    </w:p>
    <w:p>
      <w:pPr>
        <w:spacing w:line="600" w:lineRule="exact"/>
        <w:ind w:firstLine="640" w:firstLineChars="200"/>
      </w:pPr>
      <w:r>
        <w:rPr>
          <w:rFonts w:hint="eastAsia" w:eastAsia="仿宋_GB2312"/>
          <w:sz w:val="32"/>
          <w:szCs w:val="32"/>
          <w:lang w:val="en-US" w:eastAsia="zh-CN"/>
        </w:rPr>
        <w:t>我街道在预算执行和支出绩效方面，按照规定严格执行，合理安排支出，使财政资金发挥最大效益。</w:t>
      </w:r>
    </w:p>
    <w:p>
      <w:pPr>
        <w:numPr>
          <w:ilvl w:val="0"/>
          <w:numId w:val="3"/>
        </w:numPr>
        <w:spacing w:line="600" w:lineRule="exact"/>
        <w:ind w:left="640" w:leftChars="0" w:firstLine="0" w:firstLineChars="0"/>
        <w:rPr>
          <w:rFonts w:eastAsia="黑体"/>
          <w:sz w:val="32"/>
          <w:szCs w:val="32"/>
        </w:rPr>
      </w:pPr>
      <w:r>
        <w:rPr>
          <w:rFonts w:eastAsia="黑体"/>
          <w:sz w:val="32"/>
          <w:szCs w:val="32"/>
        </w:rPr>
        <w:t>预算支出主要绩效及评价结论</w:t>
      </w:r>
    </w:p>
    <w:p>
      <w:pPr>
        <w:numPr>
          <w:ilvl w:val="0"/>
          <w:numId w:val="0"/>
        </w:numPr>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我街道2020年的基本支出，保障了工作人员的基本工资，确保了基础性工作的运转。</w:t>
      </w:r>
    </w:p>
    <w:p>
      <w:pPr>
        <w:spacing w:line="700" w:lineRule="exact"/>
        <w:ind w:firstLine="640" w:firstLineChars="200"/>
        <w:rPr>
          <w:rFonts w:eastAsia="黑体"/>
          <w:sz w:val="32"/>
          <w:szCs w:val="32"/>
        </w:rPr>
      </w:pPr>
      <w:r>
        <w:rPr>
          <w:rFonts w:hint="eastAsia" w:eastAsia="仿宋_GB2312"/>
          <w:sz w:val="32"/>
          <w:szCs w:val="32"/>
          <w:lang w:val="en-US" w:eastAsia="zh-CN"/>
        </w:rPr>
        <w:t>项目支出中，</w:t>
      </w:r>
      <w:r>
        <w:rPr>
          <w:rFonts w:hint="eastAsia" w:eastAsia="仿宋_GB2312"/>
          <w:sz w:val="32"/>
          <w:szCs w:val="32"/>
        </w:rPr>
        <w:t>保障社区正常运行，更好的服务辖区居民，促进辖区经济发展，提高群众的满意度，促进辖区和谐发展。20</w:t>
      </w:r>
      <w:r>
        <w:rPr>
          <w:rFonts w:hint="eastAsia" w:eastAsia="仿宋_GB2312"/>
          <w:sz w:val="32"/>
          <w:szCs w:val="32"/>
          <w:lang w:val="en-US" w:eastAsia="zh-CN"/>
        </w:rPr>
        <w:t>20</w:t>
      </w:r>
      <w:r>
        <w:rPr>
          <w:rFonts w:hint="eastAsia" w:eastAsia="仿宋_GB2312"/>
          <w:sz w:val="32"/>
          <w:szCs w:val="32"/>
        </w:rPr>
        <w:t>年本单位自评预算支出绩效评得分</w:t>
      </w:r>
      <w:r>
        <w:rPr>
          <w:rFonts w:hint="eastAsia" w:eastAsia="仿宋_GB2312"/>
          <w:color w:val="auto"/>
          <w:sz w:val="32"/>
          <w:szCs w:val="32"/>
        </w:rPr>
        <w:t>98</w:t>
      </w:r>
      <w:r>
        <w:rPr>
          <w:rFonts w:hint="eastAsia" w:eastAsia="仿宋_GB2312"/>
          <w:sz w:val="32"/>
          <w:szCs w:val="32"/>
        </w:rPr>
        <w:t>分。</w:t>
      </w:r>
    </w:p>
    <w:p>
      <w:pPr>
        <w:numPr>
          <w:ilvl w:val="0"/>
          <w:numId w:val="0"/>
        </w:numPr>
        <w:spacing w:line="600" w:lineRule="exact"/>
        <w:ind w:firstLine="420" w:firstLineChars="200"/>
      </w:pPr>
    </w:p>
    <w:p>
      <w:pPr>
        <w:spacing w:line="600" w:lineRule="exact"/>
        <w:ind w:firstLine="640" w:firstLineChars="200"/>
        <w:rPr>
          <w:rFonts w:eastAsia="黑体"/>
          <w:sz w:val="32"/>
          <w:szCs w:val="32"/>
        </w:rPr>
      </w:pPr>
      <w:r>
        <w:rPr>
          <w:rFonts w:eastAsia="黑体"/>
          <w:sz w:val="32"/>
          <w:szCs w:val="32"/>
        </w:rPr>
        <w:t>四、绩效评价指标分析</w:t>
      </w:r>
    </w:p>
    <w:p>
      <w:pPr>
        <w:spacing w:line="600" w:lineRule="exact"/>
        <w:ind w:firstLine="640" w:firstLineChars="200"/>
        <w:rPr>
          <w:rFonts w:eastAsia="楷体_GB2312"/>
          <w:b/>
          <w:sz w:val="32"/>
          <w:szCs w:val="32"/>
        </w:rPr>
      </w:pPr>
      <w:r>
        <w:rPr>
          <w:rFonts w:eastAsia="楷体_GB2312"/>
          <w:b/>
          <w:sz w:val="32"/>
          <w:szCs w:val="32"/>
        </w:rPr>
        <w:t>（一）预算支出决策情况</w:t>
      </w:r>
    </w:p>
    <w:p>
      <w:pPr>
        <w:numPr>
          <w:ilvl w:val="0"/>
          <w:numId w:val="0"/>
        </w:numPr>
        <w:spacing w:line="600" w:lineRule="exact"/>
        <w:ind w:firstLine="640" w:firstLineChars="200"/>
        <w:rPr>
          <w:rFonts w:hint="eastAsia" w:eastAsia="宋体"/>
          <w:lang w:val="en-US" w:eastAsia="zh-CN"/>
        </w:rPr>
      </w:pPr>
      <w:r>
        <w:rPr>
          <w:rFonts w:hint="eastAsia" w:eastAsia="仿宋_GB2312"/>
          <w:sz w:val="32"/>
          <w:szCs w:val="32"/>
          <w:lang w:val="en-US" w:eastAsia="zh-CN"/>
        </w:rPr>
        <w:t>按照年初预算绩效目标，合理安排资金的使用。</w:t>
      </w:r>
    </w:p>
    <w:p>
      <w:pPr>
        <w:numPr>
          <w:ilvl w:val="0"/>
          <w:numId w:val="4"/>
        </w:numPr>
        <w:spacing w:line="600" w:lineRule="exact"/>
        <w:ind w:firstLine="640" w:firstLineChars="200"/>
        <w:rPr>
          <w:rFonts w:eastAsia="楷体_GB2312"/>
          <w:b/>
          <w:sz w:val="32"/>
          <w:szCs w:val="32"/>
        </w:rPr>
      </w:pPr>
      <w:r>
        <w:rPr>
          <w:rFonts w:eastAsia="楷体_GB2312"/>
          <w:b/>
          <w:sz w:val="32"/>
          <w:szCs w:val="32"/>
        </w:rPr>
        <w:t>预算执行过程情况</w:t>
      </w:r>
    </w:p>
    <w:p>
      <w:pPr>
        <w:numPr>
          <w:ilvl w:val="0"/>
          <w:numId w:val="4"/>
        </w:numPr>
        <w:spacing w:line="600" w:lineRule="exact"/>
        <w:ind w:left="0" w:leftChars="0" w:firstLine="640" w:firstLineChars="200"/>
        <w:rPr>
          <w:rFonts w:eastAsia="楷体_GB2312"/>
          <w:b/>
          <w:sz w:val="32"/>
          <w:szCs w:val="32"/>
        </w:rPr>
      </w:pPr>
      <w:r>
        <w:rPr>
          <w:rFonts w:hint="eastAsia" w:eastAsia="楷体_GB2312"/>
          <w:b/>
          <w:sz w:val="32"/>
          <w:szCs w:val="32"/>
        </w:rPr>
        <w:t xml:space="preserve">  </w:t>
      </w:r>
      <w:r>
        <w:rPr>
          <w:rFonts w:hint="eastAsia" w:eastAsia="仿宋_GB2312"/>
          <w:sz w:val="32"/>
          <w:szCs w:val="32"/>
        </w:rPr>
        <w:t>强化绩效理念，提高财政资金使用效益，在预算执行中严格接受财政部门的监管。</w:t>
      </w:r>
    </w:p>
    <w:p>
      <w:pPr>
        <w:numPr>
          <w:ilvl w:val="0"/>
          <w:numId w:val="4"/>
        </w:numPr>
        <w:spacing w:line="600" w:lineRule="exact"/>
        <w:ind w:left="0" w:leftChars="0" w:firstLine="640" w:firstLineChars="200"/>
        <w:rPr>
          <w:rFonts w:eastAsia="楷体_GB2312"/>
          <w:b/>
          <w:sz w:val="32"/>
          <w:szCs w:val="32"/>
        </w:rPr>
      </w:pPr>
      <w:r>
        <w:rPr>
          <w:rFonts w:eastAsia="楷体_GB2312"/>
          <w:b/>
          <w:sz w:val="32"/>
          <w:szCs w:val="32"/>
        </w:rPr>
        <w:t>预算支出产出情况</w:t>
      </w:r>
    </w:p>
    <w:p>
      <w:pPr>
        <w:numPr>
          <w:ilvl w:val="0"/>
          <w:numId w:val="0"/>
        </w:numPr>
        <w:spacing w:line="600" w:lineRule="exact"/>
        <w:ind w:firstLine="1280" w:firstLineChars="400"/>
        <w:rPr>
          <w:rFonts w:eastAsia="仿宋_GB2312"/>
          <w:sz w:val="32"/>
          <w:szCs w:val="32"/>
        </w:rPr>
      </w:pPr>
      <w:r>
        <w:rPr>
          <w:rFonts w:hint="eastAsia" w:eastAsia="仿宋_GB2312"/>
          <w:sz w:val="32"/>
          <w:szCs w:val="32"/>
        </w:rPr>
        <w:t>社区工作经费保障社区20</w:t>
      </w:r>
      <w:r>
        <w:rPr>
          <w:rFonts w:hint="eastAsia" w:eastAsia="仿宋_GB2312"/>
          <w:sz w:val="32"/>
          <w:szCs w:val="32"/>
          <w:lang w:val="en-US" w:eastAsia="zh-CN"/>
        </w:rPr>
        <w:t>20</w:t>
      </w:r>
      <w:r>
        <w:rPr>
          <w:rFonts w:hint="eastAsia" w:eastAsia="仿宋_GB2312"/>
          <w:sz w:val="32"/>
          <w:szCs w:val="32"/>
        </w:rPr>
        <w:t>年的正常运行，更好的服务群众，促进社会和谐发展。人大基层平台建设经费推进基层人大服务平台建设，更好的服务群众。法律顾问费提高了本单位的人员的法律知识，及合同文书的质量。</w:t>
      </w:r>
    </w:p>
    <w:p>
      <w:pPr>
        <w:numPr>
          <w:ilvl w:val="0"/>
          <w:numId w:val="4"/>
        </w:numPr>
        <w:spacing w:line="600" w:lineRule="exact"/>
        <w:ind w:left="0" w:leftChars="0" w:firstLine="640" w:firstLineChars="200"/>
        <w:rPr>
          <w:rFonts w:eastAsia="楷体_GB2312"/>
          <w:b/>
          <w:sz w:val="32"/>
          <w:szCs w:val="32"/>
        </w:rPr>
      </w:pPr>
      <w:r>
        <w:rPr>
          <w:rFonts w:eastAsia="楷体_GB2312"/>
          <w:b/>
          <w:sz w:val="32"/>
          <w:szCs w:val="32"/>
        </w:rPr>
        <w:t>预算支出效益情况</w:t>
      </w:r>
    </w:p>
    <w:p>
      <w:pPr>
        <w:widowControl/>
        <w:spacing w:before="42" w:beforeAutospacing="0" w:after="42" w:afterAutospacing="0" w:line="360" w:lineRule="auto"/>
        <w:ind w:left="0" w:right="0" w:firstLine="570"/>
        <w:jc w:val="left"/>
      </w:pPr>
      <w:r>
        <w:rPr>
          <w:rFonts w:hint="eastAsia" w:eastAsia="仿宋_GB2312"/>
          <w:sz w:val="32"/>
          <w:szCs w:val="32"/>
          <w:lang w:val="en-US" w:eastAsia="zh-CN"/>
        </w:rPr>
        <w:t>通过对预算资金的合理安排、使用，我街道基本完成了年初绩效目标，通过街道及社区的共同努力，创造了和谐、美丽的城市环境。</w:t>
      </w:r>
    </w:p>
    <w:p>
      <w:pPr>
        <w:spacing w:line="600" w:lineRule="exact"/>
        <w:ind w:firstLine="640" w:firstLineChars="200"/>
        <w:rPr>
          <w:rFonts w:eastAsia="黑体"/>
          <w:sz w:val="32"/>
          <w:szCs w:val="32"/>
        </w:rPr>
      </w:pPr>
      <w:r>
        <w:rPr>
          <w:rFonts w:eastAsia="黑体"/>
          <w:sz w:val="32"/>
          <w:szCs w:val="32"/>
        </w:rPr>
        <w:t>五、主要经验及做法、存在的问题及原因分析</w:t>
      </w:r>
    </w:p>
    <w:p>
      <w:pPr>
        <w:widowControl/>
        <w:spacing w:before="42" w:beforeAutospacing="0" w:after="42" w:afterAutospacing="0" w:line="360" w:lineRule="auto"/>
        <w:ind w:left="0" w:right="0" w:firstLine="570"/>
        <w:jc w:val="left"/>
        <w:rPr>
          <w:rFonts w:hint="eastAsia" w:eastAsia="仿宋_GB2312"/>
          <w:sz w:val="32"/>
          <w:szCs w:val="32"/>
          <w:lang w:val="en-US" w:eastAsia="zh-CN"/>
        </w:rPr>
      </w:pPr>
      <w:r>
        <w:rPr>
          <w:rFonts w:hint="eastAsia" w:eastAsia="仿宋_GB2312"/>
          <w:sz w:val="32"/>
          <w:szCs w:val="32"/>
          <w:lang w:val="en-US" w:eastAsia="zh-CN"/>
        </w:rPr>
        <w:t>主要经验及做法：严格遵循财务制度，基本做到专款专用，严格资金审批程序，确保了项目质量，财政资金的安全。</w:t>
      </w:r>
    </w:p>
    <w:p>
      <w:pPr>
        <w:widowControl/>
        <w:spacing w:before="42" w:beforeAutospacing="0" w:after="42" w:afterAutospacing="0" w:line="360" w:lineRule="auto"/>
        <w:ind w:left="0" w:right="0" w:firstLine="570"/>
        <w:jc w:val="left"/>
        <w:rPr>
          <w:rFonts w:eastAsia="仿宋_GB2312"/>
          <w:sz w:val="32"/>
          <w:szCs w:val="32"/>
        </w:rPr>
      </w:pPr>
      <w:r>
        <w:rPr>
          <w:rFonts w:hint="eastAsia" w:eastAsia="仿宋_GB2312"/>
          <w:sz w:val="32"/>
          <w:szCs w:val="32"/>
          <w:lang w:val="en-US" w:eastAsia="zh-CN"/>
        </w:rPr>
        <w:t>存在的问题：1、预算执行存在偏差；2、固定资产管理水平有待进一步提高。</w:t>
      </w:r>
    </w:p>
    <w:p>
      <w:pPr>
        <w:numPr>
          <w:ilvl w:val="0"/>
          <w:numId w:val="0"/>
        </w:numPr>
        <w:spacing w:line="600" w:lineRule="exact"/>
        <w:ind w:left="640" w:leftChars="0"/>
        <w:rPr>
          <w:rFonts w:eastAsia="黑体"/>
          <w:sz w:val="32"/>
          <w:szCs w:val="32"/>
        </w:rPr>
      </w:pPr>
      <w:r>
        <w:rPr>
          <w:rFonts w:hint="eastAsia" w:eastAsia="黑体"/>
          <w:sz w:val="32"/>
          <w:szCs w:val="32"/>
          <w:lang w:eastAsia="zh-CN"/>
        </w:rPr>
        <w:t>六、</w:t>
      </w:r>
      <w:r>
        <w:rPr>
          <w:rFonts w:eastAsia="黑体"/>
          <w:sz w:val="32"/>
          <w:szCs w:val="32"/>
        </w:rPr>
        <w:t>有关建议</w:t>
      </w:r>
    </w:p>
    <w:p>
      <w:pPr>
        <w:widowControl/>
        <w:spacing w:before="42" w:beforeAutospacing="0" w:after="42" w:afterAutospacing="0" w:line="360" w:lineRule="auto"/>
        <w:ind w:left="0" w:right="0" w:firstLine="570"/>
        <w:jc w:val="left"/>
        <w:rPr>
          <w:rFonts w:hint="eastAsia" w:eastAsia="仿宋_GB2312"/>
          <w:sz w:val="32"/>
          <w:szCs w:val="32"/>
          <w:lang w:val="en-US" w:eastAsia="zh-CN"/>
        </w:rPr>
      </w:pPr>
      <w:r>
        <w:rPr>
          <w:rFonts w:hint="eastAsia" w:eastAsia="仿宋_GB2312"/>
          <w:sz w:val="32"/>
          <w:szCs w:val="32"/>
          <w:lang w:val="en-US" w:eastAsia="zh-CN"/>
        </w:rPr>
        <w:t>1、科学合理编制预算，严格执行预算。按照新《预算法》及其实施条例的相关规定，按本部门的发展规划，结合上一年度预算执行情况和本年度预算收支变化因素，科学合理的编制本年度预算方案，避免预算支出与实际执行出现较大偏差情况。</w:t>
      </w:r>
    </w:p>
    <w:p>
      <w:pPr>
        <w:widowControl/>
        <w:spacing w:before="42" w:beforeAutospacing="0" w:after="42" w:afterAutospacing="0" w:line="360" w:lineRule="auto"/>
        <w:ind w:left="0" w:right="0" w:firstLine="570"/>
        <w:jc w:val="left"/>
      </w:pPr>
      <w:r>
        <w:rPr>
          <w:rFonts w:hint="eastAsia" w:eastAsia="仿宋_GB2312"/>
          <w:sz w:val="32"/>
          <w:szCs w:val="32"/>
          <w:lang w:val="en-US" w:eastAsia="zh-CN"/>
        </w:rPr>
        <w:t>2、严格按照《固定资产管理办法》的规定加强固定资产管理，及时登记、加强资产卡片管理，年终前对各类实物资产进行全面盘点，确保账账、账实相符。</w:t>
      </w:r>
    </w:p>
    <w:p>
      <w:pPr>
        <w:spacing w:line="600" w:lineRule="exact"/>
        <w:ind w:firstLine="640" w:firstLineChars="200"/>
        <w:rPr>
          <w:rFonts w:eastAsia="黑体"/>
          <w:sz w:val="32"/>
          <w:szCs w:val="32"/>
        </w:rPr>
      </w:pPr>
      <w:r>
        <w:rPr>
          <w:rFonts w:eastAsia="黑体"/>
          <w:sz w:val="32"/>
          <w:szCs w:val="32"/>
        </w:rPr>
        <w:t>七、其他需要说明的问题</w:t>
      </w:r>
    </w:p>
    <w:p>
      <w:pPr>
        <w:widowControl/>
        <w:spacing w:line="600" w:lineRule="exact"/>
        <w:jc w:val="left"/>
        <w:rPr>
          <w:rFonts w:eastAsia="黑体"/>
          <w:sz w:val="32"/>
          <w:szCs w:val="32"/>
        </w:rPr>
      </w:pPr>
      <w:r>
        <w:rPr>
          <w:rFonts w:eastAsia="黑体"/>
          <w:sz w:val="32"/>
          <w:szCs w:val="32"/>
        </w:rPr>
        <w:t xml:space="preserve">    </w:t>
      </w:r>
      <w:r>
        <w:rPr>
          <w:rFonts w:hint="eastAsia" w:eastAsia="仿宋_GB2312"/>
          <w:sz w:val="32"/>
          <w:szCs w:val="32"/>
          <w:lang w:val="en-US" w:eastAsia="zh-CN"/>
        </w:rPr>
        <w:t xml:space="preserve"> </w:t>
      </w:r>
      <w:r>
        <w:rPr>
          <w:rFonts w:hint="eastAsia" w:eastAsia="仿宋_GB2312"/>
          <w:sz w:val="32"/>
          <w:szCs w:val="32"/>
          <w:lang w:eastAsia="zh-CN"/>
        </w:rPr>
        <w:t>无</w:t>
      </w:r>
    </w:p>
    <w:p>
      <w:pPr>
        <w:pStyle w:val="10"/>
        <w:rPr>
          <w:rFonts w:asciiTheme="minorEastAsia" w:hAnsiTheme="minorEastAsia" w:eastAsiaTheme="minorEastAsia"/>
          <w:sz w:val="32"/>
          <w:szCs w:val="32"/>
        </w:rPr>
      </w:pPr>
    </w:p>
    <w:p>
      <w:pPr>
        <w:pStyle w:val="10"/>
        <w:rPr>
          <w:rFonts w:hAnsi="黑体"/>
          <w:b/>
          <w:sz w:val="32"/>
          <w:szCs w:val="32"/>
        </w:rPr>
      </w:pPr>
    </w:p>
    <w:p>
      <w:pPr>
        <w:pStyle w:val="10"/>
        <w:jc w:val="center"/>
        <w:rPr>
          <w:sz w:val="72"/>
          <w:szCs w:val="72"/>
        </w:rPr>
      </w:pPr>
    </w:p>
    <w:p>
      <w:pPr>
        <w:pStyle w:val="10"/>
        <w:jc w:val="center"/>
        <w:rPr>
          <w:sz w:val="72"/>
          <w:szCs w:val="72"/>
        </w:rPr>
      </w:pPr>
    </w:p>
    <w:p>
      <w:pPr>
        <w:pStyle w:val="10"/>
        <w:jc w:val="both"/>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cs="黑体" w:asciiTheme="minorEastAsia" w:hAnsiTheme="minorEastAsia"/>
          <w:color w:val="000000"/>
          <w:kern w:val="0"/>
          <w:sz w:val="32"/>
          <w:szCs w:val="32"/>
        </w:rPr>
      </w:pPr>
    </w:p>
    <w:p>
      <w:pPr>
        <w:spacing w:line="600" w:lineRule="exact"/>
        <w:ind w:firstLine="640" w:firstLineChars="200"/>
        <w:rPr>
          <w:rFonts w:ascii="Calibri" w:hAnsi="Calibri" w:eastAsia="仿宋_GB2312" w:cs="宋体"/>
          <w:kern w:val="0"/>
          <w:sz w:val="32"/>
          <w:szCs w:val="32"/>
        </w:rPr>
      </w:pPr>
      <w:r>
        <w:rPr>
          <w:rFonts w:hint="eastAsia" w:eastAsia="仿宋_GB2312"/>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pPr>
        <w:spacing w:line="600" w:lineRule="exact"/>
        <w:ind w:firstLine="640" w:firstLineChars="200"/>
        <w:rPr>
          <w:rFonts w:eastAsia="仿宋_GB2312"/>
          <w:kern w:val="0"/>
          <w:sz w:val="32"/>
          <w:szCs w:val="32"/>
        </w:rPr>
      </w:pPr>
      <w:r>
        <w:rPr>
          <w:rFonts w:hint="eastAsia" w:eastAsia="仿宋_GB2312"/>
          <w:kern w:val="0"/>
          <w:sz w:val="32"/>
          <w:szCs w:val="32"/>
        </w:rPr>
        <w:t>二、</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经费：纳入财政预算管理的</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jc w:val="center"/>
        <w:rPr>
          <w:rFonts w:ascii="黑体" w:eastAsia="黑体" w:cs="黑体"/>
          <w:color w:val="000000"/>
          <w:kern w:val="0"/>
          <w:sz w:val="70"/>
          <w:szCs w:val="70"/>
        </w:rPr>
      </w:pPr>
    </w:p>
    <w:p>
      <w:pPr>
        <w:ind w:firstLine="640" w:firstLineChars="200"/>
        <w:jc w:val="center"/>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2020年度部门整体支出绩效评价报告</w:t>
      </w:r>
    </w:p>
    <w:p>
      <w:pPr>
        <w:pStyle w:val="11"/>
        <w:widowControl/>
        <w:numPr>
          <w:ilvl w:val="0"/>
          <w:numId w:val="5"/>
        </w:numPr>
        <w:spacing w:line="600" w:lineRule="exact"/>
        <w:ind w:left="640" w:firstLine="0" w:firstLineChars="0"/>
        <w:rPr>
          <w:rFonts w:ascii="Times New Roman" w:hAnsi="Times New Roman" w:eastAsia="黑体"/>
          <w:sz w:val="32"/>
          <w:szCs w:val="32"/>
        </w:rPr>
      </w:pPr>
      <w:r>
        <w:rPr>
          <w:rFonts w:ascii="Times New Roman" w:hAnsi="Times New Roman" w:eastAsia="黑体"/>
          <w:sz w:val="32"/>
          <w:szCs w:val="32"/>
        </w:rPr>
        <w:t>部门、单位基本情况</w:t>
      </w:r>
    </w:p>
    <w:p>
      <w:pPr>
        <w:pStyle w:val="11"/>
        <w:widowControl/>
        <w:spacing w:line="600" w:lineRule="exact"/>
        <w:ind w:left="640" w:firstLine="640"/>
        <w:rPr>
          <w:rFonts w:ascii="仿宋_GB2312" w:hAnsi="Times New Roman" w:eastAsia="仿宋_GB2312" w:cs="Times New Roman"/>
          <w:sz w:val="32"/>
          <w:szCs w:val="32"/>
        </w:rPr>
      </w:pPr>
      <w:r>
        <w:rPr>
          <w:rFonts w:hint="eastAsia" w:ascii="仿宋_GB2312" w:hAnsi="Times New Roman" w:eastAsia="仿宋_GB2312" w:cs="Times New Roman"/>
          <w:sz w:val="32"/>
          <w:szCs w:val="32"/>
        </w:rPr>
        <w:t>迎丰街道办事处系怀化市的政治中心，共辖迎丰、顺天桥、天生塘、长湾里、板桥铺、太平桥、团结、莲花池、华峰、府前、学林、银湾12个社区，辖区总面积11.75平方公里，总人口12万人。</w:t>
      </w:r>
    </w:p>
    <w:p>
      <w:pPr>
        <w:pStyle w:val="11"/>
        <w:widowControl/>
        <w:spacing w:line="600" w:lineRule="exact"/>
        <w:ind w:left="640" w:firstLine="640"/>
        <w:rPr>
          <w:rFonts w:ascii="仿宋_GB2312" w:hAnsi="Times New Roman" w:eastAsia="仿宋_GB2312" w:cs="Times New Roman"/>
          <w:sz w:val="32"/>
          <w:szCs w:val="32"/>
        </w:rPr>
      </w:pPr>
      <w:r>
        <w:rPr>
          <w:rFonts w:hint="eastAsia" w:ascii="仿宋_GB2312" w:hAnsi="Times New Roman" w:eastAsia="仿宋_GB2312" w:cs="Times New Roman"/>
          <w:sz w:val="32"/>
          <w:szCs w:val="32"/>
        </w:rPr>
        <w:t>1、单位机构设置</w:t>
      </w:r>
    </w:p>
    <w:p>
      <w:pPr>
        <w:pStyle w:val="11"/>
        <w:widowControl/>
        <w:spacing w:line="600" w:lineRule="exact"/>
        <w:ind w:left="640" w:firstLine="640"/>
        <w:rPr>
          <w:rFonts w:ascii="仿宋_GB2312" w:hAnsi="Times New Roman" w:eastAsia="仿宋_GB2312" w:cs="Times New Roman"/>
          <w:sz w:val="32"/>
          <w:szCs w:val="32"/>
        </w:rPr>
      </w:pPr>
      <w:r>
        <w:rPr>
          <w:rFonts w:hint="eastAsia" w:ascii="仿宋_GB2312" w:hAnsi="Times New Roman" w:eastAsia="仿宋_GB2312" w:cs="Times New Roman"/>
          <w:sz w:val="32"/>
          <w:szCs w:val="32"/>
        </w:rPr>
        <w:t>迎丰街道办事处属全额拨款的行政单位，下设党群办公室、综合办公室、综治维稳办公室、城市建设管理站、社会保障服务中心、社会事业发展服务中心、计生服务站。</w:t>
      </w:r>
    </w:p>
    <w:p>
      <w:pPr>
        <w:pStyle w:val="11"/>
        <w:widowControl/>
        <w:spacing w:line="600" w:lineRule="exact"/>
        <w:ind w:firstLine="1280" w:firstLineChars="400"/>
        <w:rPr>
          <w:rFonts w:ascii="仿宋_GB2312" w:hAnsi="Times New Roman" w:eastAsia="仿宋_GB2312" w:cs="Times New Roman"/>
          <w:sz w:val="32"/>
          <w:szCs w:val="32"/>
        </w:rPr>
      </w:pPr>
      <w:r>
        <w:rPr>
          <w:rFonts w:hint="eastAsia" w:ascii="仿宋_GB2312" w:hAnsi="Times New Roman" w:eastAsia="仿宋_GB2312" w:cs="Times New Roman"/>
          <w:sz w:val="32"/>
          <w:szCs w:val="32"/>
        </w:rPr>
        <w:t>2、主要工作职能</w:t>
      </w:r>
    </w:p>
    <w:p>
      <w:pPr>
        <w:pStyle w:val="11"/>
        <w:widowControl/>
        <w:spacing w:line="600" w:lineRule="exact"/>
        <w:ind w:left="640" w:firstLine="640"/>
        <w:rPr>
          <w:rFonts w:ascii="仿宋_GB2312" w:hAnsi="Times New Roman" w:eastAsia="仿宋_GB2312" w:cs="Times New Roman"/>
          <w:sz w:val="32"/>
          <w:szCs w:val="32"/>
        </w:rPr>
      </w:pPr>
      <w:r>
        <w:rPr>
          <w:rFonts w:hint="eastAsia" w:ascii="仿宋_GB2312" w:hAnsi="Times New Roman" w:eastAsia="仿宋_GB2312" w:cs="Times New Roman"/>
          <w:sz w:val="32"/>
          <w:szCs w:val="32"/>
        </w:rPr>
        <w:t>迎丰街道办事处在区委区政的正确领导下，负责承办政府各职能部门在本辖区开展的各项行政事业性事务，办理社会经济发展工作，负责落实党中央国务院一系列惠民政策等各事项，负责并积极做好与办事处辖区群众利益相关的社会保障、劳务输出、社会稳定、计划生育、优抚救济，社区自治及其他公益事业性工作。</w:t>
      </w:r>
    </w:p>
    <w:p>
      <w:pPr>
        <w:pStyle w:val="11"/>
        <w:widowControl/>
        <w:spacing w:line="600" w:lineRule="exact"/>
        <w:ind w:left="640" w:firstLine="640"/>
        <w:rPr>
          <w:rFonts w:ascii="仿宋_GB2312" w:hAnsi="Times New Roman" w:eastAsia="仿宋_GB2312" w:cs="Times New Roman"/>
          <w:sz w:val="32"/>
          <w:szCs w:val="32"/>
        </w:rPr>
      </w:pPr>
      <w:r>
        <w:rPr>
          <w:rFonts w:hint="eastAsia" w:ascii="仿宋_GB2312" w:hAnsi="Times New Roman" w:eastAsia="仿宋_GB2312" w:cs="Times New Roman"/>
          <w:sz w:val="32"/>
          <w:szCs w:val="32"/>
        </w:rPr>
        <w:t>3、人员编制情况</w:t>
      </w:r>
    </w:p>
    <w:p>
      <w:pPr>
        <w:pStyle w:val="11"/>
        <w:widowControl/>
        <w:spacing w:line="600" w:lineRule="exact"/>
        <w:ind w:left="640" w:firstLine="640"/>
        <w:rPr>
          <w:rFonts w:ascii="仿宋_GB2312" w:hAnsi="Times New Roman" w:eastAsia="仿宋_GB2312" w:cs="Times New Roman"/>
          <w:sz w:val="32"/>
          <w:szCs w:val="32"/>
        </w:rPr>
      </w:pPr>
      <w:r>
        <w:rPr>
          <w:rFonts w:hint="eastAsia" w:ascii="仿宋_GB2312" w:hAnsi="Times New Roman" w:eastAsia="仿宋_GB2312" w:cs="Times New Roman"/>
          <w:sz w:val="32"/>
          <w:szCs w:val="32"/>
        </w:rPr>
        <w:t>现有在职全额编制114人，（其中行政编制20人，事业编制94人）退休27人。</w:t>
      </w:r>
    </w:p>
    <w:p>
      <w:pPr>
        <w:pStyle w:val="11"/>
        <w:widowControl/>
        <w:numPr>
          <w:ilvl w:val="0"/>
          <w:numId w:val="5"/>
        </w:numPr>
        <w:spacing w:line="600" w:lineRule="exact"/>
        <w:ind w:left="640" w:firstLine="0" w:firstLineChars="0"/>
        <w:rPr>
          <w:rFonts w:ascii="Times New Roman" w:hAnsi="Times New Roman" w:eastAsia="黑体"/>
          <w:sz w:val="32"/>
          <w:szCs w:val="32"/>
        </w:rPr>
      </w:pPr>
      <w:r>
        <w:rPr>
          <w:rFonts w:ascii="Times New Roman" w:hAnsi="Times New Roman" w:eastAsia="黑体"/>
          <w:sz w:val="32"/>
          <w:szCs w:val="32"/>
        </w:rPr>
        <w:t>一般公共预算支出情况</w:t>
      </w:r>
    </w:p>
    <w:p>
      <w:pPr>
        <w:spacing w:line="560" w:lineRule="exact"/>
        <w:ind w:firstLine="640" w:firstLineChars="200"/>
        <w:jc w:val="left"/>
        <w:rPr>
          <w:rFonts w:ascii="仿宋_GB2312" w:eastAsia="仿宋_GB2312"/>
          <w:sz w:val="32"/>
          <w:szCs w:val="32"/>
        </w:rPr>
      </w:pPr>
      <w:r>
        <w:rPr>
          <w:rFonts w:hint="eastAsia" w:eastAsia="黑体"/>
          <w:sz w:val="32"/>
          <w:szCs w:val="32"/>
        </w:rPr>
        <w:t>（一）</w:t>
      </w:r>
      <w:r>
        <w:rPr>
          <w:rFonts w:eastAsia="黑体"/>
          <w:sz w:val="32"/>
          <w:szCs w:val="32"/>
        </w:rPr>
        <w:t>基本支出情况</w:t>
      </w:r>
    </w:p>
    <w:p>
      <w:pPr>
        <w:spacing w:line="560" w:lineRule="exact"/>
        <w:ind w:firstLine="640" w:firstLineChars="200"/>
        <w:jc w:val="left"/>
        <w:rPr>
          <w:rFonts w:ascii="仿宋_GB2312" w:eastAsia="仿宋_GB2312"/>
          <w:sz w:val="32"/>
          <w:szCs w:val="32"/>
        </w:rPr>
      </w:pPr>
      <w:r>
        <w:rPr>
          <w:rFonts w:hint="eastAsia" w:ascii="仿宋_GB2312" w:eastAsia="仿宋_GB2312"/>
          <w:sz w:val="32"/>
          <w:szCs w:val="32"/>
        </w:rPr>
        <w:t>20</w:t>
      </w:r>
      <w:r>
        <w:rPr>
          <w:rFonts w:hint="eastAsia" w:ascii="仿宋_GB2312" w:eastAsia="仿宋_GB2312"/>
          <w:sz w:val="32"/>
          <w:szCs w:val="32"/>
          <w:lang w:val="en-US" w:eastAsia="zh-CN"/>
        </w:rPr>
        <w:t>20</w:t>
      </w:r>
      <w:r>
        <w:rPr>
          <w:rFonts w:hint="eastAsia" w:ascii="仿宋_GB2312" w:eastAsia="仿宋_GB2312"/>
          <w:sz w:val="32"/>
          <w:szCs w:val="32"/>
        </w:rPr>
        <w:t>年初预算数</w:t>
      </w:r>
      <w:r>
        <w:rPr>
          <w:rFonts w:hint="eastAsia" w:ascii="仿宋_GB2312" w:eastAsia="仿宋_GB2312"/>
          <w:sz w:val="32"/>
          <w:szCs w:val="32"/>
          <w:lang w:val="en-US" w:eastAsia="zh-CN"/>
        </w:rPr>
        <w:t>1371.28</w:t>
      </w:r>
      <w:r>
        <w:rPr>
          <w:rFonts w:hint="eastAsia" w:ascii="仿宋_GB2312" w:eastAsia="仿宋_GB2312"/>
          <w:sz w:val="32"/>
          <w:szCs w:val="32"/>
        </w:rPr>
        <w:t>万元，20</w:t>
      </w:r>
      <w:r>
        <w:rPr>
          <w:rFonts w:hint="eastAsia" w:ascii="仿宋_GB2312" w:eastAsia="仿宋_GB2312"/>
          <w:sz w:val="32"/>
          <w:szCs w:val="32"/>
          <w:lang w:val="en-US" w:eastAsia="zh-CN"/>
        </w:rPr>
        <w:t>20</w:t>
      </w:r>
      <w:r>
        <w:rPr>
          <w:rFonts w:hint="eastAsia" w:ascii="仿宋_GB2312" w:eastAsia="仿宋_GB2312"/>
          <w:sz w:val="32"/>
          <w:szCs w:val="32"/>
        </w:rPr>
        <w:t>年决算数</w:t>
      </w:r>
      <w:r>
        <w:rPr>
          <w:rFonts w:hint="eastAsia" w:asciiTheme="minorEastAsia" w:hAnsiTheme="minorEastAsia"/>
          <w:sz w:val="32"/>
          <w:szCs w:val="32"/>
          <w:lang w:val="en-US" w:eastAsia="zh-CN"/>
        </w:rPr>
        <w:t>1510.16</w:t>
      </w:r>
      <w:r>
        <w:rPr>
          <w:rFonts w:hint="eastAsia" w:ascii="仿宋_GB2312" w:eastAsia="仿宋_GB2312"/>
          <w:sz w:val="32"/>
          <w:szCs w:val="32"/>
        </w:rPr>
        <w:t>万元。基本支出是指为保障单位机构正常运转、完成日常工作任务而发生的各项支出，包括用于基本工资、津贴补贴等人员经费以及办公费、印刷费、水电费、物业管理费等日常公用经费；</w:t>
      </w:r>
    </w:p>
    <w:p>
      <w:pPr>
        <w:pStyle w:val="11"/>
        <w:widowControl/>
        <w:spacing w:line="600" w:lineRule="exact"/>
        <w:ind w:firstLine="64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项目支出情况</w:t>
      </w:r>
    </w:p>
    <w:p>
      <w:pPr>
        <w:pStyle w:val="11"/>
        <w:widowControl/>
        <w:spacing w:line="600" w:lineRule="exact"/>
        <w:ind w:firstLine="640"/>
        <w:rPr>
          <w:rFonts w:ascii="Times New Roman" w:hAnsi="Times New Roman" w:eastAsia="仿宋_GB2312"/>
          <w:sz w:val="32"/>
          <w:szCs w:val="32"/>
        </w:rPr>
      </w:pPr>
      <w:r>
        <w:rPr>
          <w:rFonts w:hint="eastAsia" w:ascii="仿宋_GB2312" w:eastAsia="仿宋_GB2312"/>
          <w:sz w:val="32"/>
          <w:szCs w:val="32"/>
        </w:rPr>
        <w:t>20</w:t>
      </w:r>
      <w:r>
        <w:rPr>
          <w:rFonts w:hint="eastAsia" w:ascii="仿宋_GB2312" w:eastAsia="仿宋_GB2312"/>
          <w:sz w:val="32"/>
          <w:szCs w:val="32"/>
          <w:lang w:val="en-US" w:eastAsia="zh-CN"/>
        </w:rPr>
        <w:t>20</w:t>
      </w:r>
      <w:r>
        <w:rPr>
          <w:rFonts w:hint="eastAsia" w:ascii="仿宋_GB2312" w:eastAsia="仿宋_GB2312"/>
          <w:sz w:val="32"/>
          <w:szCs w:val="32"/>
        </w:rPr>
        <w:t>年项目支出</w:t>
      </w:r>
      <w:r>
        <w:rPr>
          <w:rFonts w:hint="eastAsia" w:ascii="仿宋_GB2312" w:eastAsia="仿宋_GB2312"/>
          <w:sz w:val="32"/>
          <w:szCs w:val="32"/>
          <w:lang w:val="en-US" w:eastAsia="zh-CN"/>
        </w:rPr>
        <w:t>435.99</w:t>
      </w:r>
      <w:r>
        <w:rPr>
          <w:rFonts w:hint="eastAsia" w:ascii="仿宋_GB2312" w:eastAsia="仿宋_GB2312"/>
          <w:sz w:val="32"/>
          <w:szCs w:val="32"/>
        </w:rPr>
        <w:t>万元。</w:t>
      </w:r>
    </w:p>
    <w:p>
      <w:pPr>
        <w:numPr>
          <w:ilvl w:val="0"/>
          <w:numId w:val="6"/>
        </w:numPr>
        <w:spacing w:line="560" w:lineRule="exact"/>
        <w:ind w:firstLine="640" w:firstLineChars="200"/>
        <w:jc w:val="left"/>
        <w:rPr>
          <w:rFonts w:eastAsia="黑体"/>
          <w:sz w:val="32"/>
          <w:szCs w:val="32"/>
        </w:rPr>
      </w:pPr>
      <w:r>
        <w:rPr>
          <w:rFonts w:eastAsia="黑体"/>
          <w:sz w:val="32"/>
          <w:szCs w:val="32"/>
        </w:rPr>
        <w:t>政府性基金预算支出情况</w:t>
      </w:r>
    </w:p>
    <w:p>
      <w:pPr>
        <w:spacing w:line="560" w:lineRule="exact"/>
        <w:ind w:firstLine="640" w:firstLineChars="200"/>
        <w:jc w:val="left"/>
        <w:rPr>
          <w:rFonts w:ascii="仿宋_GB2312" w:eastAsia="仿宋_GB2312"/>
          <w:sz w:val="32"/>
          <w:szCs w:val="32"/>
        </w:rPr>
      </w:pPr>
      <w:r>
        <w:rPr>
          <w:rFonts w:hint="eastAsia" w:ascii="仿宋_GB2312" w:eastAsia="仿宋_GB2312"/>
          <w:sz w:val="32"/>
          <w:szCs w:val="32"/>
        </w:rPr>
        <w:t>20</w:t>
      </w:r>
      <w:r>
        <w:rPr>
          <w:rFonts w:hint="eastAsia" w:ascii="仿宋_GB2312" w:eastAsia="仿宋_GB2312"/>
          <w:sz w:val="32"/>
          <w:szCs w:val="32"/>
          <w:lang w:val="en-US" w:eastAsia="zh-CN"/>
        </w:rPr>
        <w:t>20</w:t>
      </w:r>
      <w:r>
        <w:rPr>
          <w:rFonts w:hint="eastAsia" w:ascii="仿宋_GB2312" w:eastAsia="仿宋_GB2312"/>
          <w:sz w:val="32"/>
          <w:szCs w:val="32"/>
        </w:rPr>
        <w:t>年政府性基金支出为</w:t>
      </w:r>
      <w:r>
        <w:rPr>
          <w:rFonts w:ascii="仿宋_GB2312" w:eastAsia="仿宋_GB2312"/>
          <w:sz w:val="32"/>
          <w:szCs w:val="32"/>
        </w:rPr>
        <w:t>0</w:t>
      </w:r>
      <w:r>
        <w:rPr>
          <w:rFonts w:hint="eastAsia" w:ascii="仿宋_GB2312" w:eastAsia="仿宋_GB2312"/>
          <w:sz w:val="32"/>
          <w:szCs w:val="32"/>
        </w:rPr>
        <w:t>万元。</w:t>
      </w:r>
    </w:p>
    <w:p>
      <w:pPr>
        <w:pStyle w:val="11"/>
        <w:widowControl/>
        <w:numPr>
          <w:ilvl w:val="0"/>
          <w:numId w:val="6"/>
        </w:numPr>
        <w:spacing w:line="600" w:lineRule="exact"/>
        <w:ind w:firstLine="640"/>
        <w:jc w:val="left"/>
        <w:rPr>
          <w:rFonts w:ascii="Times New Roman" w:hAnsi="Times New Roman" w:eastAsia="黑体"/>
          <w:sz w:val="32"/>
          <w:szCs w:val="32"/>
        </w:rPr>
      </w:pPr>
      <w:r>
        <w:rPr>
          <w:rFonts w:ascii="Times New Roman" w:hAnsi="Times New Roman" w:eastAsia="黑体"/>
          <w:sz w:val="32"/>
          <w:szCs w:val="32"/>
        </w:rPr>
        <w:t>国有资本经营预算支出情况</w:t>
      </w:r>
    </w:p>
    <w:p>
      <w:pPr>
        <w:spacing w:line="560" w:lineRule="exact"/>
        <w:ind w:firstLine="640" w:firstLineChars="200"/>
        <w:jc w:val="left"/>
        <w:rPr>
          <w:rFonts w:ascii="仿宋_GB2312" w:eastAsia="仿宋_GB2312"/>
          <w:sz w:val="32"/>
          <w:szCs w:val="32"/>
        </w:rPr>
      </w:pPr>
      <w:r>
        <w:rPr>
          <w:rFonts w:hint="eastAsia" w:ascii="仿宋_GB2312" w:eastAsia="仿宋_GB2312"/>
          <w:sz w:val="32"/>
          <w:szCs w:val="32"/>
        </w:rPr>
        <w:t>20</w:t>
      </w:r>
      <w:r>
        <w:rPr>
          <w:rFonts w:hint="eastAsia" w:ascii="仿宋_GB2312" w:eastAsia="仿宋_GB2312"/>
          <w:sz w:val="32"/>
          <w:szCs w:val="32"/>
          <w:lang w:val="en-US" w:eastAsia="zh-CN"/>
        </w:rPr>
        <w:t>20</w:t>
      </w:r>
      <w:r>
        <w:rPr>
          <w:rFonts w:hint="eastAsia" w:ascii="仿宋_GB2312" w:eastAsia="仿宋_GB2312"/>
          <w:sz w:val="32"/>
          <w:szCs w:val="32"/>
        </w:rPr>
        <w:t>年国有资本经营支出为</w:t>
      </w:r>
      <w:r>
        <w:rPr>
          <w:rFonts w:ascii="仿宋_GB2312" w:eastAsia="仿宋_GB2312"/>
          <w:sz w:val="32"/>
          <w:szCs w:val="32"/>
        </w:rPr>
        <w:t>0</w:t>
      </w:r>
      <w:r>
        <w:rPr>
          <w:rFonts w:hint="eastAsia" w:ascii="仿宋_GB2312" w:eastAsia="仿宋_GB2312"/>
          <w:sz w:val="32"/>
          <w:szCs w:val="32"/>
        </w:rPr>
        <w:t>万元。</w:t>
      </w:r>
    </w:p>
    <w:p>
      <w:pPr>
        <w:pStyle w:val="11"/>
        <w:widowControl/>
        <w:numPr>
          <w:ilvl w:val="0"/>
          <w:numId w:val="6"/>
        </w:numPr>
        <w:spacing w:line="600" w:lineRule="exact"/>
        <w:ind w:firstLine="640"/>
        <w:jc w:val="left"/>
        <w:rPr>
          <w:rFonts w:ascii="Times New Roman" w:hAnsi="Times New Roman" w:eastAsia="黑体"/>
          <w:sz w:val="32"/>
          <w:szCs w:val="32"/>
        </w:rPr>
      </w:pPr>
      <w:r>
        <w:rPr>
          <w:rFonts w:ascii="Times New Roman" w:hAnsi="Times New Roman" w:eastAsia="黑体"/>
          <w:sz w:val="32"/>
          <w:szCs w:val="32"/>
        </w:rPr>
        <w:t>社会保险基金预算支出情况</w:t>
      </w:r>
    </w:p>
    <w:p>
      <w:pPr>
        <w:spacing w:line="560" w:lineRule="exact"/>
        <w:ind w:firstLine="640" w:firstLineChars="200"/>
        <w:jc w:val="left"/>
        <w:rPr>
          <w:rFonts w:eastAsia="黑体"/>
          <w:sz w:val="32"/>
          <w:szCs w:val="32"/>
        </w:rPr>
      </w:pPr>
      <w:r>
        <w:rPr>
          <w:rFonts w:hint="eastAsia" w:ascii="仿宋_GB2312" w:eastAsia="仿宋_GB2312"/>
          <w:sz w:val="32"/>
          <w:szCs w:val="32"/>
        </w:rPr>
        <w:t>20</w:t>
      </w:r>
      <w:r>
        <w:rPr>
          <w:rFonts w:hint="eastAsia" w:ascii="仿宋_GB2312" w:eastAsia="仿宋_GB2312"/>
          <w:sz w:val="32"/>
          <w:szCs w:val="32"/>
          <w:lang w:val="en-US" w:eastAsia="zh-CN"/>
        </w:rPr>
        <w:t>20</w:t>
      </w:r>
      <w:r>
        <w:rPr>
          <w:rFonts w:hint="eastAsia" w:ascii="仿宋_GB2312" w:eastAsia="仿宋_GB2312"/>
          <w:sz w:val="32"/>
          <w:szCs w:val="32"/>
        </w:rPr>
        <w:t>年社会保险基金支出为</w:t>
      </w:r>
      <w:r>
        <w:rPr>
          <w:rFonts w:ascii="仿宋_GB2312" w:eastAsia="仿宋_GB2312"/>
          <w:sz w:val="32"/>
          <w:szCs w:val="32"/>
        </w:rPr>
        <w:t>0</w:t>
      </w:r>
      <w:r>
        <w:rPr>
          <w:rFonts w:hint="eastAsia" w:ascii="仿宋_GB2312" w:eastAsia="仿宋_GB2312"/>
          <w:sz w:val="32"/>
          <w:szCs w:val="32"/>
        </w:rPr>
        <w:t>万元。</w:t>
      </w:r>
    </w:p>
    <w:p>
      <w:pPr>
        <w:widowControl/>
        <w:spacing w:line="600" w:lineRule="exact"/>
        <w:ind w:firstLine="640" w:firstLineChars="200"/>
        <w:jc w:val="left"/>
        <w:rPr>
          <w:rFonts w:eastAsia="黑体"/>
          <w:sz w:val="32"/>
          <w:szCs w:val="32"/>
        </w:rPr>
      </w:pPr>
      <w:r>
        <w:rPr>
          <w:rFonts w:eastAsia="黑体"/>
          <w:sz w:val="32"/>
          <w:szCs w:val="32"/>
        </w:rPr>
        <w:t>六、部门整体支出绩效情况</w:t>
      </w:r>
    </w:p>
    <w:p>
      <w:pPr>
        <w:spacing w:line="560" w:lineRule="exact"/>
        <w:ind w:firstLine="640" w:firstLineChars="200"/>
        <w:jc w:val="left"/>
        <w:rPr>
          <w:rFonts w:ascii="仿宋_GB2312" w:eastAsia="仿宋_GB2312"/>
          <w:sz w:val="32"/>
          <w:szCs w:val="32"/>
        </w:rPr>
      </w:pPr>
      <w:r>
        <w:rPr>
          <w:rFonts w:hint="eastAsia" w:ascii="仿宋_GB2312" w:eastAsia="仿宋_GB2312"/>
          <w:sz w:val="32"/>
          <w:szCs w:val="32"/>
        </w:rPr>
        <w:t>20</w:t>
      </w:r>
      <w:r>
        <w:rPr>
          <w:rFonts w:hint="eastAsia" w:ascii="仿宋_GB2312" w:eastAsia="仿宋_GB2312"/>
          <w:sz w:val="32"/>
          <w:szCs w:val="32"/>
          <w:lang w:val="en-US" w:eastAsia="zh-CN"/>
        </w:rPr>
        <w:t>20</w:t>
      </w:r>
      <w:r>
        <w:rPr>
          <w:rFonts w:hint="eastAsia" w:ascii="仿宋_GB2312" w:eastAsia="仿宋_GB2312"/>
          <w:sz w:val="32"/>
          <w:szCs w:val="32"/>
        </w:rPr>
        <w:t>年基本支出:</w:t>
      </w:r>
      <w:r>
        <w:rPr>
          <w:rFonts w:hint="eastAsia" w:ascii="仿宋_GB2312" w:eastAsia="仿宋_GB2312"/>
          <w:sz w:val="32"/>
          <w:szCs w:val="32"/>
          <w:lang w:val="en-US" w:eastAsia="zh-CN"/>
        </w:rPr>
        <w:t>1510.16</w:t>
      </w:r>
      <w:r>
        <w:rPr>
          <w:rFonts w:hint="eastAsia" w:ascii="仿宋_GB2312" w:eastAsia="仿宋_GB2312"/>
          <w:sz w:val="32"/>
          <w:szCs w:val="32"/>
        </w:rPr>
        <w:t>万元，其中人员经费支出1280.8万元;公用经费支出229.36万元。</w:t>
      </w:r>
    </w:p>
    <w:p>
      <w:pPr>
        <w:pStyle w:val="11"/>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rPr>
        <w:t>七、</w:t>
      </w:r>
      <w:r>
        <w:rPr>
          <w:rFonts w:ascii="Times New Roman" w:hAnsi="Times New Roman" w:eastAsia="黑体"/>
          <w:sz w:val="32"/>
          <w:szCs w:val="32"/>
        </w:rPr>
        <w:t>存在的问题及原因分析</w:t>
      </w:r>
    </w:p>
    <w:p>
      <w:pPr>
        <w:pStyle w:val="11"/>
        <w:widowControl/>
        <w:spacing w:line="600" w:lineRule="exact"/>
        <w:ind w:left="640" w:firstLine="0" w:firstLineChars="0"/>
        <w:jc w:val="left"/>
        <w:rPr>
          <w:rFonts w:eastAsia="黑体"/>
          <w:sz w:val="32"/>
          <w:szCs w:val="32"/>
        </w:rPr>
      </w:pPr>
      <w:r>
        <w:rPr>
          <w:rFonts w:hint="eastAsia" w:eastAsia="仿宋_GB2312"/>
          <w:sz w:val="32"/>
          <w:szCs w:val="32"/>
          <w:lang w:eastAsia="zh-CN"/>
        </w:rPr>
        <w:t>主要存在的问题在于预算执行有偏差，形成的原因为突发状况导致的支出与预算有偏差。</w:t>
      </w:r>
    </w:p>
    <w:p>
      <w:pPr>
        <w:widowControl/>
        <w:numPr>
          <w:ilvl w:val="0"/>
          <w:numId w:val="7"/>
        </w:numPr>
        <w:spacing w:line="600" w:lineRule="exact"/>
        <w:ind w:firstLine="640" w:firstLineChars="200"/>
        <w:jc w:val="left"/>
        <w:rPr>
          <w:rFonts w:eastAsia="黑体"/>
          <w:sz w:val="32"/>
          <w:szCs w:val="32"/>
        </w:rPr>
      </w:pPr>
      <w:r>
        <w:rPr>
          <w:rFonts w:eastAsia="黑体"/>
          <w:sz w:val="32"/>
          <w:szCs w:val="32"/>
        </w:rPr>
        <w:t>下一步改进措施</w:t>
      </w:r>
    </w:p>
    <w:p>
      <w:pPr>
        <w:widowControl/>
        <w:spacing w:line="600" w:lineRule="exact"/>
        <w:ind w:firstLine="645"/>
        <w:jc w:val="left"/>
      </w:pPr>
      <w:r>
        <w:rPr>
          <w:rFonts w:hint="eastAsia" w:eastAsia="仿宋_GB2312"/>
          <w:color w:val="000000"/>
          <w:sz w:val="32"/>
          <w:szCs w:val="32"/>
          <w:lang w:val="en-US" w:eastAsia="zh-CN"/>
        </w:rPr>
        <w:t>科学合理编制预算，严格执行预算。按照《预算法》及其实施条例的相关规定，按本部门的发展规划，结合上一年度预算执行情况和本年度预算收支变化因素，科学合理的编制本年度预算方案，避免预算支出与实际执行出现较大偏差情况。</w:t>
      </w:r>
    </w:p>
    <w:p>
      <w:pPr>
        <w:widowControl/>
        <w:numPr>
          <w:ilvl w:val="0"/>
          <w:numId w:val="7"/>
        </w:numPr>
        <w:spacing w:line="600" w:lineRule="exact"/>
        <w:ind w:firstLine="640" w:firstLineChars="200"/>
        <w:jc w:val="left"/>
        <w:rPr>
          <w:rFonts w:eastAsia="黑体"/>
          <w:sz w:val="32"/>
          <w:szCs w:val="32"/>
        </w:rPr>
      </w:pPr>
      <w:r>
        <w:rPr>
          <w:rFonts w:eastAsia="黑体"/>
          <w:sz w:val="32"/>
          <w:szCs w:val="32"/>
        </w:rPr>
        <w:t>其他需要说明的情况</w:t>
      </w:r>
    </w:p>
    <w:p>
      <w:pPr>
        <w:widowControl/>
        <w:spacing w:line="600" w:lineRule="exact"/>
        <w:ind w:left="420" w:leftChars="200"/>
        <w:jc w:val="left"/>
        <w:rPr>
          <w:rFonts w:eastAsia="仿宋_GB2312"/>
          <w:sz w:val="32"/>
          <w:szCs w:val="32"/>
        </w:rPr>
      </w:pPr>
      <w:r>
        <w:rPr>
          <w:rFonts w:hint="eastAsia" w:eastAsia="黑体"/>
          <w:sz w:val="32"/>
          <w:szCs w:val="32"/>
        </w:rPr>
        <w:t xml:space="preserve"> </w:t>
      </w:r>
      <w:r>
        <w:rPr>
          <w:rFonts w:hint="eastAsia" w:eastAsia="仿宋_GB2312"/>
          <w:sz w:val="32"/>
          <w:szCs w:val="32"/>
        </w:rPr>
        <w:t xml:space="preserve"> 无</w:t>
      </w:r>
    </w:p>
    <w:p>
      <w:pPr>
        <w:ind w:firstLine="640" w:firstLineChars="200"/>
        <w:jc w:val="left"/>
        <w:rPr>
          <w:rFonts w:cs="黑体" w:asciiTheme="minorEastAsia" w:hAnsiTheme="minorEastAsia"/>
          <w:color w:val="000000"/>
          <w:kern w:val="0"/>
          <w:sz w:val="32"/>
          <w:szCs w:val="32"/>
        </w:rPr>
      </w:pPr>
      <w:bookmarkStart w:id="0" w:name="_GoBack"/>
      <w:bookmarkEnd w:id="0"/>
    </w:p>
    <w:p>
      <w:pPr>
        <w:ind w:firstLine="640" w:firstLineChars="200"/>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463B96"/>
    <w:multiLevelType w:val="singleLevel"/>
    <w:tmpl w:val="91463B96"/>
    <w:lvl w:ilvl="0" w:tentative="0">
      <w:start w:val="2"/>
      <w:numFmt w:val="chineseCounting"/>
      <w:suff w:val="nothing"/>
      <w:lvlText w:val="（%1）"/>
      <w:lvlJc w:val="left"/>
      <w:rPr>
        <w:rFonts w:hint="eastAsia"/>
      </w:rPr>
    </w:lvl>
  </w:abstractNum>
  <w:abstractNum w:abstractNumId="1">
    <w:nsid w:val="ED1BF1C3"/>
    <w:multiLevelType w:val="singleLevel"/>
    <w:tmpl w:val="ED1BF1C3"/>
    <w:lvl w:ilvl="0" w:tentative="0">
      <w:start w:val="1"/>
      <w:numFmt w:val="chineseCounting"/>
      <w:suff w:val="nothing"/>
      <w:lvlText w:val="%1、"/>
      <w:lvlJc w:val="left"/>
      <w:rPr>
        <w:rFonts w:hint="eastAsia"/>
      </w:rPr>
    </w:lvl>
  </w:abstractNum>
  <w:abstractNum w:abstractNumId="2">
    <w:nsid w:val="F613CC65"/>
    <w:multiLevelType w:val="singleLevel"/>
    <w:tmpl w:val="F613CC65"/>
    <w:lvl w:ilvl="0" w:tentative="0">
      <w:start w:val="3"/>
      <w:numFmt w:val="chineseCounting"/>
      <w:suff w:val="nothing"/>
      <w:lvlText w:val="%1、"/>
      <w:lvlJc w:val="left"/>
      <w:rPr>
        <w:rFonts w:hint="eastAsia"/>
      </w:rPr>
    </w:lvl>
  </w:abstractNum>
  <w:abstractNum w:abstractNumId="3">
    <w:nsid w:val="12AD9BD8"/>
    <w:multiLevelType w:val="singleLevel"/>
    <w:tmpl w:val="12AD9BD8"/>
    <w:lvl w:ilvl="0" w:tentative="0">
      <w:start w:val="8"/>
      <w:numFmt w:val="chineseCounting"/>
      <w:suff w:val="nothing"/>
      <w:lvlText w:val="%1、"/>
      <w:lvlJc w:val="left"/>
      <w:rPr>
        <w:rFonts w:hint="eastAsia"/>
      </w:rPr>
    </w:lvl>
  </w:abstractNum>
  <w:abstractNum w:abstractNumId="4">
    <w:nsid w:val="2083CFC5"/>
    <w:multiLevelType w:val="singleLevel"/>
    <w:tmpl w:val="2083CFC5"/>
    <w:lvl w:ilvl="0" w:tentative="0">
      <w:start w:val="2"/>
      <w:numFmt w:val="chineseCounting"/>
      <w:suff w:val="nothing"/>
      <w:lvlText w:val="（%1）"/>
      <w:lvlJc w:val="left"/>
      <w:rPr>
        <w:rFonts w:hint="eastAsia"/>
      </w:rPr>
    </w:lvl>
  </w:abstractNum>
  <w:abstractNum w:abstractNumId="5">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4EA41EA"/>
    <w:multiLevelType w:val="singleLevel"/>
    <w:tmpl w:val="54EA41EA"/>
    <w:lvl w:ilvl="0" w:tentative="0">
      <w:start w:val="1"/>
      <w:numFmt w:val="chineseCounting"/>
      <w:suff w:val="nothing"/>
      <w:lvlText w:val="%1、"/>
      <w:lvlJc w:val="left"/>
      <w:rPr>
        <w:rFonts w:hint="eastAsia"/>
      </w:rPr>
    </w:lvl>
  </w:abstractNum>
  <w:num w:numId="1">
    <w:abstractNumId w:val="5"/>
  </w:num>
  <w:num w:numId="2">
    <w:abstractNumId w:val="4"/>
  </w:num>
  <w:num w:numId="3">
    <w:abstractNumId w:val="6"/>
  </w:num>
  <w:num w:numId="4">
    <w:abstractNumId w:val="0"/>
  </w:num>
  <w:num w:numId="5">
    <w:abstractNumId w:val="1"/>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15B7"/>
    <w:rsid w:val="00041E3F"/>
    <w:rsid w:val="00055DAA"/>
    <w:rsid w:val="00061F7B"/>
    <w:rsid w:val="000658A3"/>
    <w:rsid w:val="00074155"/>
    <w:rsid w:val="000A3F69"/>
    <w:rsid w:val="00103957"/>
    <w:rsid w:val="00125FFA"/>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47E6"/>
    <w:rsid w:val="003C4FC2"/>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E8C"/>
    <w:rsid w:val="006A22C4"/>
    <w:rsid w:val="006A351B"/>
    <w:rsid w:val="006A65FF"/>
    <w:rsid w:val="006B0422"/>
    <w:rsid w:val="006C1B53"/>
    <w:rsid w:val="006D7730"/>
    <w:rsid w:val="006E5284"/>
    <w:rsid w:val="006F3EB5"/>
    <w:rsid w:val="00702E34"/>
    <w:rsid w:val="00704395"/>
    <w:rsid w:val="00712D99"/>
    <w:rsid w:val="00717621"/>
    <w:rsid w:val="00720FF1"/>
    <w:rsid w:val="00727A53"/>
    <w:rsid w:val="00787B42"/>
    <w:rsid w:val="007C4539"/>
    <w:rsid w:val="007F3657"/>
    <w:rsid w:val="00812ED5"/>
    <w:rsid w:val="008277D9"/>
    <w:rsid w:val="0084478C"/>
    <w:rsid w:val="008556C3"/>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26304"/>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0242F"/>
    <w:rsid w:val="00D148C6"/>
    <w:rsid w:val="00D17A8A"/>
    <w:rsid w:val="00D415BA"/>
    <w:rsid w:val="00D644EE"/>
    <w:rsid w:val="00DD06FF"/>
    <w:rsid w:val="00DD5FE9"/>
    <w:rsid w:val="00E00C7A"/>
    <w:rsid w:val="00E37D6C"/>
    <w:rsid w:val="00E55B68"/>
    <w:rsid w:val="00E67BE6"/>
    <w:rsid w:val="00E8683C"/>
    <w:rsid w:val="00EA2B72"/>
    <w:rsid w:val="00F74360"/>
    <w:rsid w:val="00FB462F"/>
    <w:rsid w:val="00FE16FA"/>
    <w:rsid w:val="00FE328A"/>
    <w:rsid w:val="00FE6269"/>
    <w:rsid w:val="1AC12369"/>
    <w:rsid w:val="1DF162C8"/>
    <w:rsid w:val="26A0656D"/>
    <w:rsid w:val="33C96E12"/>
    <w:rsid w:val="3C862903"/>
    <w:rsid w:val="49ED1CF6"/>
    <w:rsid w:val="79C44EA8"/>
    <w:rsid w:val="7DBC62A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alloon Text"/>
    <w:basedOn w:val="1"/>
    <w:link w:val="12"/>
    <w:semiHidden/>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99"/>
    <w:rPr>
      <w:sz w:val="18"/>
      <w:szCs w:val="18"/>
    </w:rPr>
  </w:style>
  <w:style w:type="character" w:customStyle="1" w:styleId="9">
    <w:name w:val="页脚 Char"/>
    <w:basedOn w:val="7"/>
    <w:link w:val="4"/>
    <w:qFormat/>
    <w:uiPriority w:val="99"/>
    <w:rPr>
      <w:sz w:val="18"/>
      <w:szCs w:val="18"/>
    </w:rPr>
  </w:style>
  <w:style w:type="paragraph" w:customStyle="1" w:styleId="10">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1">
    <w:name w:val="List Paragraph"/>
    <w:basedOn w:val="1"/>
    <w:qFormat/>
    <w:uiPriority w:val="34"/>
    <w:pPr>
      <w:ind w:firstLine="420" w:firstLineChars="200"/>
    </w:pPr>
  </w:style>
  <w:style w:type="character" w:customStyle="1" w:styleId="12">
    <w:name w:val="批注框文本 Char"/>
    <w:basedOn w:val="7"/>
    <w:link w:val="3"/>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8E8E99-0876-4457-84BE-74A901AF77D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620</Words>
  <Characters>3538</Characters>
  <Lines>29</Lines>
  <Paragraphs>8</Paragraphs>
  <TotalTime>1</TotalTime>
  <ScaleCrop>false</ScaleCrop>
  <LinksUpToDate>false</LinksUpToDate>
  <CharactersWithSpaces>4150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Administrator</cp:lastModifiedBy>
  <cp:lastPrinted>2021-07-28T00:12:00Z</cp:lastPrinted>
  <dcterms:modified xsi:type="dcterms:W3CDTF">2021-09-23T01:17:50Z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