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80" w:lineRule="exact"/>
        <w:ind w:firstLine="883" w:firstLineChars="200"/>
        <w:jc w:val="center"/>
        <w:textAlignment w:val="auto"/>
        <w:outlineLvl w:val="9"/>
        <w:rPr>
          <w:rFonts w:hint="default" w:ascii="黑体" w:eastAsia="黑体"/>
          <w:b/>
          <w:bCs/>
          <w:sz w:val="44"/>
          <w:szCs w:val="44"/>
          <w:lang w:val="en-US" w:eastAsia="zh-CN"/>
        </w:rPr>
      </w:pPr>
      <w:r>
        <w:rPr>
          <w:rFonts w:hint="eastAsia" w:ascii="黑体" w:eastAsia="黑体"/>
          <w:b/>
          <w:bCs/>
          <w:sz w:val="44"/>
          <w:szCs w:val="44"/>
          <w:lang w:val="en-US" w:eastAsia="zh-CN"/>
        </w:rPr>
        <w:t>区工商联2021年度部门预算公开说明</w:t>
      </w:r>
    </w:p>
    <w:p>
      <w:pPr>
        <w:keepNext w:val="0"/>
        <w:keepLines w:val="0"/>
        <w:pageBreakBefore w:val="0"/>
        <w:widowControl w:val="0"/>
        <w:kinsoku/>
        <w:wordWrap/>
        <w:overflowPunct/>
        <w:topLinePunct w:val="0"/>
        <w:autoSpaceDE/>
        <w:autoSpaceDN/>
        <w:bidi w:val="0"/>
        <w:adjustRightInd/>
        <w:snapToGrid/>
        <w:spacing w:line="580" w:lineRule="exact"/>
        <w:ind w:firstLine="883" w:firstLineChars="200"/>
        <w:jc w:val="center"/>
        <w:textAlignment w:val="auto"/>
        <w:outlineLvl w:val="9"/>
        <w:rPr>
          <w:rFonts w:hint="eastAsia" w:ascii="黑体" w:eastAsia="黑体"/>
          <w:b/>
          <w:bCs/>
          <w:sz w:val="44"/>
          <w:szCs w:val="44"/>
          <w:lang w:eastAsia="zh-CN"/>
        </w:rPr>
      </w:pP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jc w:val="both"/>
        <w:textAlignment w:val="auto"/>
        <w:outlineLvl w:val="9"/>
        <w:rPr>
          <w:rFonts w:hint="eastAsia" w:ascii="黑体" w:eastAsia="黑体"/>
          <w:b/>
          <w:bCs/>
          <w:sz w:val="32"/>
          <w:szCs w:val="32"/>
          <w:lang w:eastAsia="zh-CN"/>
        </w:rPr>
      </w:pPr>
      <w:r>
        <w:rPr>
          <w:rFonts w:hint="eastAsia" w:ascii="黑体" w:eastAsia="黑体"/>
          <w:b/>
          <w:bCs/>
          <w:sz w:val="32"/>
          <w:szCs w:val="32"/>
          <w:lang w:eastAsia="zh-CN"/>
        </w:rPr>
        <w:t>目</w:t>
      </w:r>
      <w:r>
        <w:rPr>
          <w:rFonts w:hint="eastAsia" w:ascii="黑体" w:eastAsia="黑体"/>
          <w:b/>
          <w:bCs/>
          <w:sz w:val="32"/>
          <w:szCs w:val="32"/>
          <w:lang w:val="en-US" w:eastAsia="zh-CN"/>
        </w:rPr>
        <w:t xml:space="preserve">  </w:t>
      </w:r>
      <w:r>
        <w:rPr>
          <w:rFonts w:hint="eastAsia" w:ascii="黑体" w:eastAsia="黑体"/>
          <w:b/>
          <w:bCs/>
          <w:sz w:val="32"/>
          <w:szCs w:val="32"/>
          <w:lang w:eastAsia="zh-CN"/>
        </w:rPr>
        <w:t>录</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outlineLvl w:val="9"/>
        <w:rPr>
          <w:rFonts w:hint="eastAsia" w:ascii="黑体" w:eastAsia="黑体"/>
          <w:sz w:val="32"/>
          <w:szCs w:val="32"/>
        </w:rPr>
      </w:pPr>
      <w:r>
        <w:rPr>
          <w:rFonts w:hint="eastAsia" w:ascii="黑体" w:eastAsia="黑体"/>
          <w:sz w:val="32"/>
          <w:szCs w:val="32"/>
        </w:rPr>
        <w:t>一、部门职责及机构设置情况</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outlineLvl w:val="9"/>
        <w:rPr>
          <w:rFonts w:hint="eastAsia" w:ascii="仿宋_GB2312" w:eastAsia="仿宋_GB2312"/>
          <w:sz w:val="32"/>
          <w:szCs w:val="32"/>
        </w:rPr>
      </w:pPr>
      <w:r>
        <w:rPr>
          <w:rFonts w:hint="eastAsia" w:ascii="仿宋_GB2312" w:eastAsia="仿宋_GB2312"/>
          <w:sz w:val="32"/>
          <w:szCs w:val="32"/>
        </w:rPr>
        <w:t>（一）部门职责</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outlineLvl w:val="9"/>
        <w:rPr>
          <w:rFonts w:hint="eastAsia" w:ascii="仿宋_GB2312" w:eastAsia="仿宋_GB2312"/>
          <w:sz w:val="32"/>
          <w:szCs w:val="32"/>
        </w:rPr>
      </w:pPr>
      <w:r>
        <w:rPr>
          <w:rFonts w:hint="eastAsia" w:ascii="仿宋_GB2312" w:eastAsia="仿宋_GB2312"/>
          <w:sz w:val="32"/>
          <w:szCs w:val="32"/>
        </w:rPr>
        <w:t>（二）机构设置情况</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outlineLvl w:val="9"/>
        <w:rPr>
          <w:rFonts w:hint="eastAsia" w:ascii="黑体" w:eastAsia="黑体"/>
          <w:sz w:val="32"/>
          <w:szCs w:val="32"/>
        </w:rPr>
      </w:pPr>
      <w:r>
        <w:rPr>
          <w:rFonts w:hint="eastAsia" w:ascii="黑体" w:eastAsia="黑体"/>
          <w:sz w:val="32"/>
          <w:szCs w:val="32"/>
          <w:lang w:eastAsia="zh-CN"/>
        </w:rPr>
        <w:t>二</w:t>
      </w:r>
      <w:r>
        <w:rPr>
          <w:rFonts w:hint="eastAsia" w:ascii="黑体" w:eastAsia="黑体"/>
          <w:sz w:val="32"/>
          <w:szCs w:val="32"/>
        </w:rPr>
        <w:t>、部门预算安排情况说明</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outlineLvl w:val="9"/>
        <w:rPr>
          <w:rFonts w:hint="eastAsia" w:ascii="仿宋_GB2312" w:eastAsia="仿宋_GB2312"/>
          <w:sz w:val="32"/>
          <w:szCs w:val="32"/>
        </w:rPr>
      </w:pPr>
      <w:r>
        <w:rPr>
          <w:rFonts w:hint="eastAsia" w:ascii="仿宋_GB2312" w:eastAsia="仿宋_GB2312"/>
          <w:sz w:val="32"/>
          <w:szCs w:val="32"/>
        </w:rPr>
        <w:t>（一）部门预算基本情况</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outlineLvl w:val="9"/>
        <w:rPr>
          <w:rFonts w:hint="eastAsia" w:ascii="仿宋_GB2312" w:eastAsia="仿宋_GB2312"/>
          <w:sz w:val="32"/>
          <w:szCs w:val="32"/>
        </w:rPr>
      </w:pPr>
      <w:r>
        <w:rPr>
          <w:rFonts w:hint="eastAsia" w:ascii="仿宋_GB2312" w:eastAsia="仿宋_GB2312"/>
          <w:sz w:val="32"/>
          <w:szCs w:val="32"/>
        </w:rPr>
        <w:t xml:space="preserve"> 1．年度收支预算情况</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outlineLvl w:val="9"/>
        <w:rPr>
          <w:rFonts w:hint="eastAsia" w:ascii="仿宋_GB2312" w:eastAsia="仿宋_GB2312"/>
          <w:sz w:val="32"/>
          <w:szCs w:val="32"/>
        </w:rPr>
      </w:pPr>
      <w:r>
        <w:rPr>
          <w:rFonts w:hint="eastAsia" w:ascii="仿宋_GB2312" w:eastAsia="仿宋_GB2312"/>
          <w:sz w:val="32"/>
          <w:szCs w:val="32"/>
          <w:lang w:eastAsia="zh-CN"/>
        </w:rPr>
        <w:t>（</w:t>
      </w:r>
      <w:r>
        <w:rPr>
          <w:rFonts w:hint="eastAsia" w:ascii="仿宋_GB2312" w:eastAsia="仿宋_GB2312"/>
          <w:sz w:val="32"/>
          <w:szCs w:val="32"/>
          <w:lang w:val="en-US" w:eastAsia="zh-CN"/>
        </w:rPr>
        <w:t>1</w:t>
      </w:r>
      <w:r>
        <w:rPr>
          <w:rFonts w:hint="eastAsia" w:ascii="仿宋_GB2312" w:eastAsia="仿宋_GB2312"/>
          <w:sz w:val="32"/>
          <w:szCs w:val="32"/>
          <w:lang w:eastAsia="zh-CN"/>
        </w:rPr>
        <w:t>）</w:t>
      </w:r>
      <w:r>
        <w:rPr>
          <w:rFonts w:hint="eastAsia" w:ascii="仿宋_GB2312" w:eastAsia="仿宋_GB2312"/>
          <w:sz w:val="32"/>
          <w:szCs w:val="32"/>
        </w:rPr>
        <w:t>收入预算</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outlineLvl w:val="9"/>
        <w:rPr>
          <w:rFonts w:hint="eastAsia" w:ascii="仿宋_GB2312" w:eastAsia="仿宋_GB2312"/>
          <w:sz w:val="32"/>
          <w:szCs w:val="32"/>
          <w:lang w:eastAsia="zh-CN"/>
        </w:rPr>
      </w:pPr>
      <w:r>
        <w:rPr>
          <w:rFonts w:hint="eastAsia" w:ascii="仿宋_GB2312" w:eastAsia="仿宋_GB2312"/>
          <w:sz w:val="32"/>
          <w:szCs w:val="32"/>
          <w:lang w:eastAsia="zh-CN"/>
        </w:rPr>
        <w:t>（</w:t>
      </w:r>
      <w:r>
        <w:rPr>
          <w:rFonts w:hint="eastAsia" w:ascii="仿宋_GB2312" w:eastAsia="仿宋_GB2312"/>
          <w:sz w:val="32"/>
          <w:szCs w:val="32"/>
          <w:lang w:val="en-US" w:eastAsia="zh-CN"/>
        </w:rPr>
        <w:t>2</w:t>
      </w:r>
      <w:r>
        <w:rPr>
          <w:rFonts w:hint="eastAsia" w:ascii="仿宋_GB2312" w:eastAsia="仿宋_GB2312"/>
          <w:sz w:val="32"/>
          <w:szCs w:val="32"/>
          <w:lang w:eastAsia="zh-CN"/>
        </w:rPr>
        <w:t>）</w:t>
      </w:r>
      <w:r>
        <w:rPr>
          <w:rFonts w:hint="eastAsia" w:ascii="仿宋_GB2312" w:eastAsia="仿宋_GB2312"/>
          <w:sz w:val="32"/>
          <w:szCs w:val="32"/>
        </w:rPr>
        <w:t>支出预算</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outlineLvl w:val="9"/>
        <w:rPr>
          <w:rFonts w:hint="eastAsia" w:ascii="仿宋_GB2312" w:eastAsia="仿宋_GB2312"/>
          <w:sz w:val="32"/>
          <w:szCs w:val="32"/>
        </w:rPr>
      </w:pPr>
      <w:r>
        <w:rPr>
          <w:rFonts w:hint="eastAsia" w:ascii="仿宋_GB2312" w:eastAsia="仿宋_GB2312"/>
          <w:sz w:val="32"/>
          <w:szCs w:val="32"/>
        </w:rPr>
        <w:t xml:space="preserve"> 2．年度一般公共预算财政拨款支出情况</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outlineLvl w:val="9"/>
        <w:rPr>
          <w:rFonts w:hint="eastAsia" w:ascii="仿宋_GB2312" w:eastAsia="仿宋_GB2312"/>
          <w:sz w:val="32"/>
          <w:szCs w:val="32"/>
        </w:rPr>
      </w:pPr>
      <w:r>
        <w:rPr>
          <w:rFonts w:hint="eastAsia" w:ascii="仿宋_GB2312" w:eastAsia="仿宋_GB2312"/>
          <w:sz w:val="32"/>
          <w:szCs w:val="32"/>
          <w:lang w:eastAsia="zh-CN"/>
        </w:rPr>
        <w:t>（</w:t>
      </w:r>
      <w:r>
        <w:rPr>
          <w:rFonts w:hint="eastAsia" w:ascii="仿宋_GB2312" w:eastAsia="仿宋_GB2312"/>
          <w:sz w:val="32"/>
          <w:szCs w:val="32"/>
          <w:lang w:val="en-US" w:eastAsia="zh-CN"/>
        </w:rPr>
        <w:t>1</w:t>
      </w:r>
      <w:r>
        <w:rPr>
          <w:rFonts w:hint="eastAsia" w:ascii="仿宋_GB2312" w:eastAsia="仿宋_GB2312"/>
          <w:sz w:val="32"/>
          <w:szCs w:val="32"/>
          <w:lang w:eastAsia="zh-CN"/>
        </w:rPr>
        <w:t>）</w:t>
      </w:r>
      <w:r>
        <w:rPr>
          <w:rFonts w:hint="eastAsia" w:ascii="仿宋_GB2312" w:eastAsia="仿宋_GB2312"/>
          <w:sz w:val="32"/>
          <w:szCs w:val="32"/>
        </w:rPr>
        <w:t>基本支出</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outlineLvl w:val="9"/>
        <w:rPr>
          <w:rFonts w:hint="eastAsia" w:ascii="仿宋_GB2312" w:eastAsia="仿宋_GB2312"/>
          <w:sz w:val="32"/>
          <w:szCs w:val="32"/>
          <w:lang w:eastAsia="zh-CN"/>
        </w:rPr>
      </w:pPr>
      <w:r>
        <w:rPr>
          <w:rFonts w:hint="eastAsia" w:ascii="仿宋_GB2312" w:eastAsia="仿宋_GB2312"/>
          <w:sz w:val="32"/>
          <w:szCs w:val="32"/>
          <w:lang w:eastAsia="zh-CN"/>
        </w:rPr>
        <w:t>（</w:t>
      </w:r>
      <w:r>
        <w:rPr>
          <w:rFonts w:hint="eastAsia" w:ascii="仿宋_GB2312" w:eastAsia="仿宋_GB2312"/>
          <w:sz w:val="32"/>
          <w:szCs w:val="32"/>
          <w:lang w:val="en-US" w:eastAsia="zh-CN"/>
        </w:rPr>
        <w:t>2</w:t>
      </w:r>
      <w:r>
        <w:rPr>
          <w:rFonts w:hint="eastAsia" w:ascii="仿宋_GB2312" w:eastAsia="仿宋_GB2312"/>
          <w:sz w:val="32"/>
          <w:szCs w:val="32"/>
          <w:lang w:eastAsia="zh-CN"/>
        </w:rPr>
        <w:t>）</w:t>
      </w:r>
      <w:r>
        <w:rPr>
          <w:rFonts w:hint="eastAsia" w:ascii="仿宋_GB2312" w:eastAsia="仿宋_GB2312"/>
          <w:sz w:val="32"/>
          <w:szCs w:val="32"/>
        </w:rPr>
        <w:t>项目支出</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outlineLvl w:val="9"/>
        <w:rPr>
          <w:rFonts w:hint="eastAsia" w:ascii="仿宋_GB2312" w:eastAsia="仿宋_GB2312"/>
          <w:sz w:val="32"/>
          <w:szCs w:val="32"/>
        </w:rPr>
      </w:pPr>
      <w:r>
        <w:rPr>
          <w:rFonts w:hint="eastAsia" w:ascii="仿宋_GB2312" w:eastAsia="仿宋_GB2312"/>
          <w:sz w:val="32"/>
          <w:szCs w:val="32"/>
          <w:lang w:eastAsia="zh-CN"/>
        </w:rPr>
        <w:t>（二）</w:t>
      </w:r>
      <w:r>
        <w:rPr>
          <w:rFonts w:hint="eastAsia" w:ascii="仿宋_GB2312" w:eastAsia="仿宋_GB2312"/>
          <w:sz w:val="32"/>
          <w:szCs w:val="32"/>
        </w:rPr>
        <w:t>年度“三公”经费预算情况</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outlineLvl w:val="9"/>
        <w:rPr>
          <w:rFonts w:hint="eastAsia" w:ascii="仿宋_GB2312" w:eastAsia="仿宋_GB2312"/>
          <w:sz w:val="32"/>
          <w:szCs w:val="32"/>
        </w:rPr>
      </w:pPr>
      <w:r>
        <w:rPr>
          <w:rFonts w:hint="eastAsia" w:ascii="仿宋_GB2312" w:eastAsia="仿宋_GB2312"/>
          <w:sz w:val="32"/>
          <w:szCs w:val="32"/>
        </w:rPr>
        <w:t>（三）年度机关运行经费预算情况</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outlineLvl w:val="9"/>
        <w:rPr>
          <w:rFonts w:hint="eastAsia" w:ascii="仿宋_GB2312" w:eastAsia="仿宋_GB2312"/>
          <w:sz w:val="32"/>
          <w:szCs w:val="32"/>
        </w:rPr>
      </w:pPr>
      <w:r>
        <w:rPr>
          <w:rFonts w:hint="eastAsia" w:ascii="仿宋_GB2312" w:eastAsia="仿宋_GB2312"/>
          <w:sz w:val="32"/>
          <w:szCs w:val="32"/>
        </w:rPr>
        <w:t>（四）年度政府采购预算情况</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outlineLvl w:val="9"/>
        <w:rPr>
          <w:rFonts w:hint="eastAsia" w:ascii="仿宋_GB2312" w:eastAsia="仿宋_GB2312"/>
          <w:sz w:val="32"/>
          <w:szCs w:val="32"/>
          <w:lang w:eastAsia="zh-CN"/>
        </w:rPr>
      </w:pPr>
      <w:r>
        <w:rPr>
          <w:rFonts w:hint="eastAsia" w:ascii="仿宋_GB2312" w:eastAsia="仿宋_GB2312"/>
          <w:sz w:val="32"/>
          <w:szCs w:val="32"/>
          <w:lang w:eastAsia="zh-CN"/>
        </w:rPr>
        <w:t>（五）</w:t>
      </w:r>
      <w:r>
        <w:rPr>
          <w:rFonts w:hint="eastAsia" w:ascii="仿宋_GB2312" w:eastAsia="仿宋_GB2312"/>
          <w:sz w:val="32"/>
          <w:szCs w:val="32"/>
        </w:rPr>
        <w:t>国有资产占用</w:t>
      </w:r>
      <w:r>
        <w:rPr>
          <w:rFonts w:hint="eastAsia" w:ascii="仿宋_GB2312" w:eastAsia="仿宋_GB2312"/>
          <w:sz w:val="32"/>
          <w:szCs w:val="32"/>
          <w:lang w:eastAsia="zh-CN"/>
        </w:rPr>
        <w:t>情况</w:t>
      </w:r>
    </w:p>
    <w:p>
      <w:pPr>
        <w:keepNext w:val="0"/>
        <w:keepLines w:val="0"/>
        <w:pageBreakBefore w:val="0"/>
        <w:widowControl w:val="0"/>
        <w:numPr>
          <w:ilvl w:val="0"/>
          <w:numId w:val="1"/>
        </w:numPr>
        <w:kinsoku/>
        <w:wordWrap/>
        <w:overflowPunct/>
        <w:topLinePunct w:val="0"/>
        <w:autoSpaceDE/>
        <w:autoSpaceDN/>
        <w:bidi w:val="0"/>
        <w:adjustRightInd/>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预算绩效管理情况</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outlineLvl w:val="9"/>
        <w:rPr>
          <w:rFonts w:hint="eastAsia" w:ascii="黑体" w:eastAsia="黑体"/>
          <w:sz w:val="32"/>
          <w:szCs w:val="32"/>
        </w:rPr>
      </w:pPr>
      <w:r>
        <w:rPr>
          <w:rFonts w:hint="eastAsia" w:ascii="黑体" w:eastAsia="黑体"/>
          <w:sz w:val="32"/>
          <w:szCs w:val="32"/>
          <w:lang w:eastAsia="zh-CN"/>
        </w:rPr>
        <w:t>三</w:t>
      </w:r>
      <w:r>
        <w:rPr>
          <w:rFonts w:hint="eastAsia" w:ascii="黑体" w:eastAsia="黑体"/>
          <w:sz w:val="32"/>
          <w:szCs w:val="32"/>
        </w:rPr>
        <w:t>、专业名词解释</w:t>
      </w:r>
    </w:p>
    <w:p>
      <w:pPr>
        <w:keepNext w:val="0"/>
        <w:keepLines w:val="0"/>
        <w:pageBreakBefore w:val="0"/>
        <w:widowControl w:val="0"/>
        <w:kinsoku/>
        <w:wordWrap/>
        <w:overflowPunct/>
        <w:topLinePunct w:val="0"/>
        <w:autoSpaceDE/>
        <w:autoSpaceDN/>
        <w:bidi w:val="0"/>
        <w:adjustRightInd/>
        <w:snapToGrid/>
        <w:spacing w:line="580" w:lineRule="exact"/>
        <w:jc w:val="left"/>
        <w:textAlignment w:val="auto"/>
        <w:outlineLvl w:val="9"/>
        <w:rPr>
          <w:rFonts w:hint="default" w:ascii="宋体" w:hAnsi="宋体" w:eastAsia="宋体"/>
          <w:b/>
          <w:sz w:val="44"/>
          <w:szCs w:val="44"/>
          <w:lang w:val="en-US" w:eastAsia="zh-CN"/>
        </w:rPr>
      </w:pPr>
      <w:r>
        <w:rPr>
          <w:rFonts w:hint="eastAsia" w:ascii="宋体" w:hAnsi="宋体"/>
          <w:b/>
          <w:sz w:val="44"/>
          <w:szCs w:val="44"/>
          <w:lang w:val="en-US" w:eastAsia="zh-CN"/>
        </w:rPr>
        <w:t xml:space="preserve">  </w:t>
      </w:r>
      <w:r>
        <w:rPr>
          <w:rFonts w:hint="eastAsia" w:ascii="黑体" w:eastAsia="黑体"/>
          <w:sz w:val="32"/>
          <w:szCs w:val="32"/>
          <w:lang w:val="en-US" w:eastAsia="zh-CN"/>
        </w:rPr>
        <w:t xml:space="preserve"> </w:t>
      </w:r>
    </w:p>
    <w:p>
      <w:pPr>
        <w:keepNext w:val="0"/>
        <w:keepLines w:val="0"/>
        <w:pageBreakBefore w:val="0"/>
        <w:widowControl w:val="0"/>
        <w:kinsoku/>
        <w:wordWrap/>
        <w:overflowPunct/>
        <w:topLinePunct w:val="0"/>
        <w:autoSpaceDE/>
        <w:autoSpaceDN/>
        <w:bidi w:val="0"/>
        <w:snapToGrid/>
        <w:spacing w:line="580" w:lineRule="exact"/>
        <w:ind w:firstLine="883" w:firstLineChars="200"/>
        <w:jc w:val="both"/>
        <w:textAlignment w:val="auto"/>
        <w:outlineLvl w:val="9"/>
        <w:rPr>
          <w:rFonts w:hint="eastAsia" w:ascii="宋体" w:hAnsi="宋体"/>
          <w:b/>
          <w:sz w:val="44"/>
          <w:szCs w:val="44"/>
        </w:rPr>
      </w:pPr>
    </w:p>
    <w:p>
      <w:pPr>
        <w:keepNext w:val="0"/>
        <w:keepLines w:val="0"/>
        <w:pageBreakBefore w:val="0"/>
        <w:widowControl w:val="0"/>
        <w:kinsoku/>
        <w:wordWrap/>
        <w:overflowPunct/>
        <w:topLinePunct w:val="0"/>
        <w:autoSpaceDE/>
        <w:autoSpaceDN/>
        <w:bidi w:val="0"/>
        <w:snapToGrid/>
        <w:spacing w:line="580" w:lineRule="exact"/>
        <w:ind w:firstLine="640" w:firstLineChars="200"/>
        <w:textAlignment w:val="auto"/>
        <w:outlineLvl w:val="9"/>
        <w:rPr>
          <w:rFonts w:hint="eastAsia" w:ascii="黑体" w:eastAsia="黑体"/>
          <w:sz w:val="32"/>
          <w:szCs w:val="32"/>
        </w:rPr>
      </w:pPr>
    </w:p>
    <w:p>
      <w:pPr>
        <w:keepNext w:val="0"/>
        <w:keepLines w:val="0"/>
        <w:pageBreakBefore w:val="0"/>
        <w:widowControl w:val="0"/>
        <w:kinsoku/>
        <w:wordWrap/>
        <w:overflowPunct/>
        <w:topLinePunct w:val="0"/>
        <w:autoSpaceDE/>
        <w:autoSpaceDN/>
        <w:bidi w:val="0"/>
        <w:snapToGrid/>
        <w:spacing w:line="580" w:lineRule="exact"/>
        <w:ind w:firstLine="640" w:firstLineChars="200"/>
        <w:textAlignment w:val="auto"/>
        <w:outlineLvl w:val="9"/>
        <w:rPr>
          <w:rFonts w:hint="eastAsia" w:ascii="黑体" w:eastAsia="黑体"/>
          <w:sz w:val="32"/>
          <w:szCs w:val="32"/>
        </w:rPr>
      </w:pPr>
    </w:p>
    <w:p>
      <w:pPr>
        <w:keepNext w:val="0"/>
        <w:keepLines w:val="0"/>
        <w:pageBreakBefore w:val="0"/>
        <w:widowControl w:val="0"/>
        <w:kinsoku/>
        <w:wordWrap/>
        <w:overflowPunct/>
        <w:topLinePunct w:val="0"/>
        <w:autoSpaceDE/>
        <w:autoSpaceDN/>
        <w:bidi w:val="0"/>
        <w:snapToGrid/>
        <w:spacing w:line="580" w:lineRule="exact"/>
        <w:ind w:firstLine="640" w:firstLineChars="200"/>
        <w:textAlignment w:val="auto"/>
        <w:outlineLvl w:val="9"/>
        <w:rPr>
          <w:rFonts w:hint="eastAsia" w:ascii="黑体" w:eastAsia="黑体"/>
          <w:sz w:val="32"/>
          <w:szCs w:val="32"/>
        </w:rPr>
      </w:pPr>
      <w:r>
        <w:rPr>
          <w:rFonts w:hint="eastAsia" w:ascii="黑体" w:eastAsia="黑体"/>
          <w:sz w:val="32"/>
          <w:szCs w:val="32"/>
        </w:rPr>
        <w:t>一、部门职责及机构设置情况</w:t>
      </w:r>
    </w:p>
    <w:p>
      <w:pPr>
        <w:keepNext w:val="0"/>
        <w:keepLines w:val="0"/>
        <w:pageBreakBefore w:val="0"/>
        <w:widowControl w:val="0"/>
        <w:kinsoku/>
        <w:wordWrap/>
        <w:overflowPunct/>
        <w:topLinePunct w:val="0"/>
        <w:autoSpaceDE/>
        <w:autoSpaceDN/>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（一）部门职责</w:t>
      </w:r>
    </w:p>
    <w:p>
      <w:pPr>
        <w:keepNext w:val="0"/>
        <w:keepLines w:val="0"/>
        <w:pageBreakBefore w:val="0"/>
        <w:widowControl/>
        <w:kinsoku/>
        <w:wordWrap/>
        <w:overflowPunct/>
        <w:topLinePunct w:val="0"/>
        <w:autoSpaceDE/>
        <w:autoSpaceDN/>
        <w:bidi w:val="0"/>
        <w:snapToGrid/>
        <w:spacing w:line="580" w:lineRule="exact"/>
        <w:ind w:firstLine="640" w:firstLineChars="200"/>
        <w:textAlignment w:val="auto"/>
        <w:rPr>
          <w:rFonts w:hint="eastAsia" w:eastAsia="仿宋_GB2312"/>
          <w:kern w:val="0"/>
          <w:sz w:val="32"/>
          <w:szCs w:val="32"/>
        </w:rPr>
      </w:pPr>
      <w:r>
        <w:rPr>
          <w:rFonts w:hint="eastAsia" w:eastAsia="仿宋_GB2312"/>
          <w:kern w:val="0"/>
          <w:sz w:val="32"/>
          <w:szCs w:val="32"/>
        </w:rPr>
        <w:t>1. 加强和改进非公有制经济人士思想政治工作。</w:t>
      </w:r>
    </w:p>
    <w:p>
      <w:pPr>
        <w:keepNext w:val="0"/>
        <w:keepLines w:val="0"/>
        <w:pageBreakBefore w:val="0"/>
        <w:widowControl/>
        <w:kinsoku/>
        <w:wordWrap/>
        <w:overflowPunct/>
        <w:topLinePunct w:val="0"/>
        <w:autoSpaceDE/>
        <w:autoSpaceDN/>
        <w:bidi w:val="0"/>
        <w:snapToGrid/>
        <w:spacing w:line="580" w:lineRule="exact"/>
        <w:ind w:firstLine="640" w:firstLineChars="200"/>
        <w:textAlignment w:val="auto"/>
        <w:rPr>
          <w:rFonts w:hint="eastAsia" w:eastAsia="仿宋_GB2312"/>
          <w:kern w:val="0"/>
          <w:sz w:val="32"/>
          <w:szCs w:val="32"/>
        </w:rPr>
      </w:pPr>
      <w:r>
        <w:rPr>
          <w:rFonts w:hint="eastAsia" w:eastAsia="仿宋_GB2312"/>
          <w:kern w:val="0"/>
          <w:sz w:val="32"/>
          <w:szCs w:val="32"/>
        </w:rPr>
        <w:t>2. 参与政治协商，发挥民主监督作用，积极参政议政。</w:t>
      </w:r>
    </w:p>
    <w:p>
      <w:pPr>
        <w:keepNext w:val="0"/>
        <w:keepLines w:val="0"/>
        <w:pageBreakBefore w:val="0"/>
        <w:widowControl/>
        <w:kinsoku/>
        <w:wordWrap/>
        <w:overflowPunct/>
        <w:topLinePunct w:val="0"/>
        <w:autoSpaceDE/>
        <w:autoSpaceDN/>
        <w:bidi w:val="0"/>
        <w:snapToGrid/>
        <w:spacing w:line="580" w:lineRule="exact"/>
        <w:ind w:firstLine="640" w:firstLineChars="200"/>
        <w:textAlignment w:val="auto"/>
        <w:rPr>
          <w:rFonts w:hint="eastAsia" w:eastAsia="仿宋_GB2312"/>
          <w:kern w:val="0"/>
          <w:sz w:val="32"/>
          <w:szCs w:val="32"/>
        </w:rPr>
      </w:pPr>
      <w:r>
        <w:rPr>
          <w:rFonts w:hint="eastAsia" w:eastAsia="仿宋_GB2312"/>
          <w:kern w:val="0"/>
          <w:sz w:val="32"/>
          <w:szCs w:val="32"/>
        </w:rPr>
        <w:t>3. 协助政府管理和服务非公有制经济。</w:t>
      </w:r>
    </w:p>
    <w:p>
      <w:pPr>
        <w:keepNext w:val="0"/>
        <w:keepLines w:val="0"/>
        <w:pageBreakBefore w:val="0"/>
        <w:widowControl/>
        <w:kinsoku/>
        <w:wordWrap/>
        <w:overflowPunct/>
        <w:topLinePunct w:val="0"/>
        <w:autoSpaceDE/>
        <w:autoSpaceDN/>
        <w:bidi w:val="0"/>
        <w:snapToGrid/>
        <w:spacing w:line="580" w:lineRule="exact"/>
        <w:ind w:firstLine="640" w:firstLineChars="200"/>
        <w:textAlignment w:val="auto"/>
        <w:rPr>
          <w:rFonts w:hint="eastAsia" w:eastAsia="仿宋_GB2312"/>
          <w:kern w:val="0"/>
          <w:sz w:val="32"/>
          <w:szCs w:val="32"/>
        </w:rPr>
      </w:pPr>
      <w:r>
        <w:rPr>
          <w:rFonts w:hint="eastAsia" w:eastAsia="仿宋_GB2312"/>
          <w:kern w:val="0"/>
          <w:sz w:val="32"/>
          <w:szCs w:val="32"/>
        </w:rPr>
        <w:t>4. 促进行业协会商会改革发展。</w:t>
      </w:r>
    </w:p>
    <w:p>
      <w:pPr>
        <w:keepNext w:val="0"/>
        <w:keepLines w:val="0"/>
        <w:pageBreakBefore w:val="0"/>
        <w:widowControl/>
        <w:kinsoku/>
        <w:wordWrap/>
        <w:overflowPunct/>
        <w:topLinePunct w:val="0"/>
        <w:autoSpaceDE/>
        <w:autoSpaceDN/>
        <w:bidi w:val="0"/>
        <w:snapToGrid/>
        <w:spacing w:line="580" w:lineRule="exact"/>
        <w:ind w:firstLine="640" w:firstLineChars="200"/>
        <w:textAlignment w:val="auto"/>
        <w:rPr>
          <w:rFonts w:hint="eastAsia" w:eastAsia="仿宋_GB2312"/>
          <w:kern w:val="0"/>
          <w:sz w:val="32"/>
          <w:szCs w:val="32"/>
        </w:rPr>
      </w:pPr>
      <w:r>
        <w:rPr>
          <w:rFonts w:hint="eastAsia" w:eastAsia="仿宋_GB2312"/>
          <w:kern w:val="0"/>
          <w:sz w:val="32"/>
          <w:szCs w:val="32"/>
        </w:rPr>
        <w:t>5. 参与协调劳动关系，协同社会治理，促进社会和谐稳定。</w:t>
      </w:r>
    </w:p>
    <w:p>
      <w:pPr>
        <w:keepNext w:val="0"/>
        <w:keepLines w:val="0"/>
        <w:pageBreakBefore w:val="0"/>
        <w:widowControl/>
        <w:kinsoku/>
        <w:wordWrap/>
        <w:overflowPunct/>
        <w:topLinePunct w:val="0"/>
        <w:autoSpaceDE/>
        <w:autoSpaceDN/>
        <w:bidi w:val="0"/>
        <w:snapToGrid/>
        <w:spacing w:line="580" w:lineRule="exact"/>
        <w:ind w:firstLine="640" w:firstLineChars="200"/>
        <w:textAlignment w:val="auto"/>
        <w:rPr>
          <w:rFonts w:hint="eastAsia" w:eastAsia="仿宋_GB2312"/>
          <w:kern w:val="0"/>
          <w:sz w:val="32"/>
          <w:szCs w:val="32"/>
        </w:rPr>
      </w:pPr>
      <w:r>
        <w:rPr>
          <w:rFonts w:hint="eastAsia" w:eastAsia="仿宋_GB2312"/>
          <w:kern w:val="0"/>
          <w:sz w:val="32"/>
          <w:szCs w:val="32"/>
        </w:rPr>
        <w:t>6. 引导非公有制企业和非公有制经济人士依法诚信经营，了解反映非公有制企业和非公有制经济人士诉求， 帮助其依法维护合法权益，推动各种所有制经济依法平等使用生产要素、公开公平公正参与市场竞争、同等受到法律保护，促进权利平等、机会平等、规则平等，参与经济纠纷的调解、仲裁。</w:t>
      </w:r>
    </w:p>
    <w:p>
      <w:pPr>
        <w:keepNext w:val="0"/>
        <w:keepLines w:val="0"/>
        <w:pageBreakBefore w:val="0"/>
        <w:widowControl/>
        <w:kinsoku/>
        <w:wordWrap/>
        <w:overflowPunct/>
        <w:topLinePunct w:val="0"/>
        <w:autoSpaceDE/>
        <w:autoSpaceDN/>
        <w:bidi w:val="0"/>
        <w:snapToGrid/>
        <w:spacing w:line="580" w:lineRule="exact"/>
        <w:ind w:firstLine="640" w:firstLineChars="200"/>
        <w:textAlignment w:val="auto"/>
        <w:rPr>
          <w:rFonts w:hint="eastAsia" w:eastAsia="仿宋_GB2312"/>
          <w:kern w:val="0"/>
          <w:sz w:val="32"/>
          <w:szCs w:val="32"/>
        </w:rPr>
      </w:pPr>
      <w:r>
        <w:rPr>
          <w:rFonts w:hint="eastAsia" w:eastAsia="仿宋_GB2312"/>
          <w:kern w:val="0"/>
          <w:sz w:val="32"/>
          <w:szCs w:val="32"/>
        </w:rPr>
        <w:t>7. 依法加强会产管理、经营和保护。</w:t>
      </w:r>
    </w:p>
    <w:p>
      <w:pPr>
        <w:keepNext w:val="0"/>
        <w:keepLines w:val="0"/>
        <w:pageBreakBefore w:val="0"/>
        <w:kinsoku/>
        <w:wordWrap/>
        <w:overflowPunct/>
        <w:topLinePunct w:val="0"/>
        <w:autoSpaceDE/>
        <w:autoSpaceDN/>
        <w:bidi w:val="0"/>
        <w:snapToGrid/>
        <w:spacing w:line="580" w:lineRule="exact"/>
        <w:ind w:firstLine="640" w:firstLineChars="200"/>
        <w:textAlignment w:val="auto"/>
        <w:rPr>
          <w:rFonts w:hint="eastAsia" w:ascii="仿宋_GB2312" w:eastAsia="仿宋_GB2312"/>
          <w:sz w:val="32"/>
          <w:szCs w:val="32"/>
        </w:rPr>
      </w:pPr>
      <w:r>
        <w:rPr>
          <w:rFonts w:hint="eastAsia" w:eastAsia="仿宋_GB2312"/>
          <w:kern w:val="0"/>
          <w:sz w:val="32"/>
          <w:szCs w:val="32"/>
        </w:rPr>
        <w:t>8. 完成区委。区政府交办的其他任务。</w:t>
      </w:r>
    </w:p>
    <w:p>
      <w:pPr>
        <w:keepNext w:val="0"/>
        <w:keepLines w:val="0"/>
        <w:pageBreakBefore w:val="0"/>
        <w:widowControl w:val="0"/>
        <w:kinsoku/>
        <w:wordWrap/>
        <w:overflowPunct/>
        <w:topLinePunct w:val="0"/>
        <w:autoSpaceDE/>
        <w:autoSpaceDN/>
        <w:bidi w:val="0"/>
        <w:snapToGrid/>
        <w:spacing w:line="580" w:lineRule="exact"/>
        <w:ind w:firstLine="320" w:firstLineChars="100"/>
        <w:textAlignment w:val="auto"/>
        <w:outlineLvl w:val="9"/>
        <w:rPr>
          <w:rFonts w:hint="eastAsia" w:ascii="仿宋_GB2312" w:eastAsia="仿宋_GB2312"/>
          <w:sz w:val="32"/>
          <w:szCs w:val="32"/>
        </w:rPr>
      </w:pPr>
      <w:r>
        <w:rPr>
          <w:rFonts w:hint="eastAsia" w:ascii="仿宋_GB2312" w:eastAsia="仿宋_GB2312"/>
          <w:sz w:val="32"/>
          <w:szCs w:val="32"/>
        </w:rPr>
        <w:t>（二）机构设置情况</w:t>
      </w:r>
    </w:p>
    <w:p>
      <w:pPr>
        <w:keepNext w:val="0"/>
        <w:keepLines w:val="0"/>
        <w:pageBreakBefore w:val="0"/>
        <w:kinsoku/>
        <w:wordWrap/>
        <w:overflowPunct/>
        <w:topLinePunct w:val="0"/>
        <w:autoSpaceDE/>
        <w:autoSpaceDN/>
        <w:bidi w:val="0"/>
        <w:snapToGrid/>
        <w:spacing w:line="580" w:lineRule="exact"/>
        <w:ind w:firstLine="640" w:firstLineChars="200"/>
        <w:textAlignment w:val="auto"/>
        <w:rPr>
          <w:rFonts w:hint="eastAsia" w:ascii="仿宋_GB2312" w:eastAsia="仿宋_GB2312"/>
          <w:sz w:val="32"/>
          <w:szCs w:val="32"/>
        </w:rPr>
      </w:pPr>
      <w:r>
        <w:rPr>
          <w:rFonts w:hint="eastAsia" w:eastAsia="仿宋_GB2312"/>
          <w:bCs/>
          <w:kern w:val="0"/>
          <w:sz w:val="32"/>
          <w:szCs w:val="32"/>
        </w:rPr>
        <w:t>鹤城区工商联</w:t>
      </w:r>
      <w:r>
        <w:rPr>
          <w:rFonts w:hint="eastAsia" w:ascii="仿宋_GB2312" w:eastAsia="仿宋_GB2312"/>
          <w:sz w:val="32"/>
          <w:szCs w:val="32"/>
        </w:rPr>
        <w:t>作为一级部门预算单位，内设三个股室，分别为为：</w:t>
      </w:r>
    </w:p>
    <w:p>
      <w:pPr>
        <w:keepNext w:val="0"/>
        <w:keepLines w:val="0"/>
        <w:pageBreakBefore w:val="0"/>
        <w:widowControl/>
        <w:kinsoku/>
        <w:wordWrap/>
        <w:overflowPunct/>
        <w:topLinePunct w:val="0"/>
        <w:autoSpaceDE/>
        <w:autoSpaceDN/>
        <w:bidi w:val="0"/>
        <w:snapToGrid/>
        <w:spacing w:line="580" w:lineRule="exact"/>
        <w:ind w:firstLine="640" w:firstLineChars="200"/>
        <w:textAlignment w:val="auto"/>
        <w:rPr>
          <w:rFonts w:hint="eastAsia" w:eastAsia="仿宋_GB2312"/>
          <w:bCs/>
          <w:kern w:val="0"/>
          <w:sz w:val="32"/>
          <w:szCs w:val="32"/>
        </w:rPr>
      </w:pPr>
      <w:r>
        <w:rPr>
          <w:rFonts w:hint="eastAsia" w:eastAsia="仿宋_GB2312"/>
          <w:bCs/>
          <w:kern w:val="0"/>
          <w:sz w:val="32"/>
          <w:szCs w:val="32"/>
        </w:rPr>
        <w:t>1.办公室。负责机关日常运转工作。</w:t>
      </w:r>
    </w:p>
    <w:p>
      <w:pPr>
        <w:keepNext w:val="0"/>
        <w:keepLines w:val="0"/>
        <w:pageBreakBefore w:val="0"/>
        <w:widowControl/>
        <w:kinsoku/>
        <w:wordWrap/>
        <w:overflowPunct/>
        <w:topLinePunct w:val="0"/>
        <w:autoSpaceDE/>
        <w:autoSpaceDN/>
        <w:bidi w:val="0"/>
        <w:snapToGrid/>
        <w:spacing w:line="580" w:lineRule="exact"/>
        <w:ind w:firstLine="640" w:firstLineChars="200"/>
        <w:textAlignment w:val="auto"/>
        <w:rPr>
          <w:rFonts w:hint="eastAsia" w:eastAsia="仿宋_GB2312"/>
          <w:bCs/>
          <w:kern w:val="0"/>
          <w:sz w:val="32"/>
          <w:szCs w:val="32"/>
        </w:rPr>
      </w:pPr>
      <w:r>
        <w:rPr>
          <w:rFonts w:hint="eastAsia" w:eastAsia="仿宋_GB2312"/>
          <w:bCs/>
          <w:kern w:val="0"/>
          <w:sz w:val="32"/>
          <w:szCs w:val="32"/>
        </w:rPr>
        <w:t>2.会员发展股，参与政治协商， 发挥民主监督作用，积极参政议政:负责会员发展。管理和服务工作:原办区工商联换届的具体组织工作和届中的常。抗委调整工作:负责区工商联领导班子和领导机构中的非公有制经济代表人士的日常联系:协助做好区工商联领导机构人选的推荐、考察;负责区工商联执委人选的推荐、考察、呈报工作;加强和改进非公有制经济人士思想政治工作;促进行业协会商会改革发展;协助做好非公有制经济代表人士政治安排的其他有关工作.</w:t>
      </w:r>
    </w:p>
    <w:p>
      <w:pPr>
        <w:keepNext w:val="0"/>
        <w:keepLines w:val="0"/>
        <w:pageBreakBefore w:val="0"/>
        <w:widowControl/>
        <w:kinsoku/>
        <w:wordWrap/>
        <w:overflowPunct/>
        <w:topLinePunct w:val="0"/>
        <w:autoSpaceDE/>
        <w:autoSpaceDN/>
        <w:bidi w:val="0"/>
        <w:snapToGrid/>
        <w:spacing w:line="580" w:lineRule="exact"/>
        <w:textAlignment w:val="auto"/>
        <w:rPr>
          <w:rFonts w:eastAsia="仿宋_GB2312"/>
          <w:bCs/>
          <w:kern w:val="0"/>
          <w:sz w:val="32"/>
          <w:szCs w:val="32"/>
        </w:rPr>
      </w:pPr>
      <w:r>
        <w:rPr>
          <w:rFonts w:hint="eastAsia" w:eastAsia="仿宋_GB2312"/>
          <w:bCs/>
          <w:kern w:val="0"/>
          <w:sz w:val="32"/>
          <w:szCs w:val="32"/>
        </w:rPr>
        <w:t xml:space="preserve">   3.会员维权股。协助政府管理和服务非公有制经济;负责会员信息资料的收集、整理和统计工作，建设会员信息库;指导乡镇商会、经济类行业协会、异地商会的规范化管理;组织商协会和非公企业相互或对外联系交流，增进非公经济人士的联谊沟通;引导非公有制企业和非公有制经济人士依法诚信经营，了解反映非公有制企业和非公有制经济人士诉求，帮助其依法维护合法权益，推动各种所有制经济依法平等使用生产要素、公开公平公正参与市场竞争、同等受到法律保护，促进权利平等、机会平等、规则平等，参与经济纠纷的调解、仲裁;参与协调劳动关系，协同社会治理，促进社会和谐稳定;依法加强会产管理、经营和保护:实施政策咨询、法律提助、走访慰问、信息传递等服务，加大非公经济人士的关爱力度。</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sz w:val="32"/>
          <w:szCs w:val="32"/>
        </w:rPr>
      </w:pPr>
      <w:r>
        <w:rPr>
          <w:rFonts w:hint="eastAsia" w:ascii="仿宋" w:hAnsi="仿宋" w:eastAsia="仿宋"/>
          <w:sz w:val="32"/>
          <w:szCs w:val="32"/>
        </w:rPr>
        <w:t>单位编制人员情况:现有编制数</w:t>
      </w:r>
      <w:r>
        <w:rPr>
          <w:rFonts w:hint="eastAsia" w:ascii="仿宋" w:hAnsi="仿宋" w:eastAsia="仿宋"/>
          <w:sz w:val="32"/>
          <w:szCs w:val="32"/>
          <w:lang w:val="en-US" w:eastAsia="zh-CN"/>
        </w:rPr>
        <w:t>10个</w:t>
      </w:r>
      <w:r>
        <w:rPr>
          <w:rFonts w:hint="eastAsia" w:ascii="仿宋" w:hAnsi="仿宋" w:eastAsia="仿宋"/>
          <w:sz w:val="32"/>
          <w:szCs w:val="32"/>
          <w:lang w:eastAsia="zh-CN"/>
        </w:rPr>
        <w:t>：</w:t>
      </w:r>
      <w:r>
        <w:rPr>
          <w:rFonts w:hint="eastAsia" w:ascii="仿宋" w:hAnsi="仿宋" w:eastAsia="仿宋"/>
          <w:sz w:val="32"/>
          <w:szCs w:val="32"/>
        </w:rPr>
        <w:t>行政编制</w:t>
      </w:r>
      <w:r>
        <w:rPr>
          <w:rFonts w:hint="eastAsia" w:ascii="仿宋" w:hAnsi="仿宋" w:eastAsia="仿宋"/>
          <w:sz w:val="32"/>
          <w:szCs w:val="32"/>
          <w:lang w:val="en-US" w:eastAsia="zh-CN"/>
        </w:rPr>
        <w:t>5</w:t>
      </w:r>
      <w:r>
        <w:rPr>
          <w:rFonts w:hint="eastAsia" w:ascii="仿宋" w:hAnsi="仿宋" w:eastAsia="仿宋"/>
          <w:sz w:val="32"/>
          <w:szCs w:val="32"/>
        </w:rPr>
        <w:t>人、事业编制</w:t>
      </w:r>
      <w:r>
        <w:rPr>
          <w:rFonts w:hint="eastAsia" w:ascii="仿宋" w:hAnsi="仿宋" w:eastAsia="仿宋"/>
          <w:sz w:val="32"/>
          <w:szCs w:val="32"/>
          <w:lang w:val="en-US" w:eastAsia="zh-CN"/>
        </w:rPr>
        <w:t>5</w:t>
      </w:r>
      <w:r>
        <w:rPr>
          <w:rFonts w:hint="eastAsia" w:ascii="仿宋" w:hAnsi="仿宋" w:eastAsia="仿宋"/>
          <w:sz w:val="32"/>
          <w:szCs w:val="32"/>
        </w:rPr>
        <w:t>人、在职人员</w:t>
      </w:r>
      <w:r>
        <w:rPr>
          <w:rFonts w:hint="eastAsia" w:ascii="仿宋" w:hAnsi="仿宋" w:eastAsia="仿宋"/>
          <w:sz w:val="32"/>
          <w:szCs w:val="32"/>
          <w:lang w:val="en-US" w:eastAsia="zh-CN"/>
        </w:rPr>
        <w:t>8</w:t>
      </w:r>
      <w:r>
        <w:rPr>
          <w:rFonts w:hint="eastAsia" w:ascii="仿宋" w:hAnsi="仿宋" w:eastAsia="仿宋"/>
          <w:sz w:val="32"/>
          <w:szCs w:val="32"/>
        </w:rPr>
        <w:t>人，退休人员</w:t>
      </w:r>
      <w:r>
        <w:rPr>
          <w:rFonts w:hint="eastAsia" w:ascii="仿宋" w:hAnsi="仿宋" w:eastAsia="仿宋"/>
          <w:sz w:val="32"/>
          <w:szCs w:val="32"/>
          <w:lang w:val="en-US" w:eastAsia="zh-CN"/>
        </w:rPr>
        <w:t>4</w:t>
      </w:r>
      <w:r>
        <w:rPr>
          <w:rFonts w:hint="eastAsia" w:ascii="仿宋" w:hAnsi="仿宋" w:eastAsia="仿宋"/>
          <w:sz w:val="32"/>
          <w:szCs w:val="32"/>
        </w:rPr>
        <w:t>人。</w:t>
      </w:r>
    </w:p>
    <w:p>
      <w:pPr>
        <w:keepNext w:val="0"/>
        <w:keepLines w:val="0"/>
        <w:pageBreakBefore w:val="0"/>
        <w:widowControl w:val="0"/>
        <w:numPr>
          <w:ilvl w:val="0"/>
          <w:numId w:val="0"/>
        </w:numPr>
        <w:kinsoku/>
        <w:wordWrap/>
        <w:overflowPunct/>
        <w:topLinePunct w:val="0"/>
        <w:autoSpaceDE/>
        <w:autoSpaceDN/>
        <w:bidi w:val="0"/>
        <w:snapToGrid/>
        <w:spacing w:line="580" w:lineRule="exact"/>
        <w:ind w:firstLine="640" w:firstLineChars="200"/>
        <w:textAlignment w:val="auto"/>
        <w:outlineLvl w:val="9"/>
        <w:rPr>
          <w:rFonts w:hint="eastAsia" w:ascii="黑体" w:eastAsia="黑体"/>
          <w:sz w:val="32"/>
          <w:szCs w:val="32"/>
        </w:rPr>
      </w:pPr>
      <w:r>
        <w:rPr>
          <w:rFonts w:hint="eastAsia" w:ascii="黑体" w:eastAsia="黑体"/>
          <w:sz w:val="32"/>
          <w:szCs w:val="32"/>
          <w:lang w:eastAsia="zh-CN"/>
        </w:rPr>
        <w:t>二、</w:t>
      </w:r>
      <w:r>
        <w:rPr>
          <w:rFonts w:hint="eastAsia" w:ascii="黑体" w:eastAsia="黑体"/>
          <w:sz w:val="32"/>
          <w:szCs w:val="32"/>
        </w:rPr>
        <w:t>部门预算安排情况说明</w:t>
      </w:r>
    </w:p>
    <w:p>
      <w:pPr>
        <w:keepNext w:val="0"/>
        <w:keepLines w:val="0"/>
        <w:pageBreakBefore w:val="0"/>
        <w:widowControl w:val="0"/>
        <w:numPr>
          <w:ilvl w:val="0"/>
          <w:numId w:val="0"/>
        </w:numPr>
        <w:kinsoku/>
        <w:wordWrap/>
        <w:overflowPunct/>
        <w:topLinePunct w:val="0"/>
        <w:autoSpaceDE/>
        <w:autoSpaceDN/>
        <w:bidi w:val="0"/>
        <w:snapToGrid/>
        <w:spacing w:line="580" w:lineRule="exact"/>
        <w:ind w:firstLine="320" w:firstLineChars="100"/>
        <w:textAlignment w:val="auto"/>
        <w:outlineLvl w:val="9"/>
        <w:rPr>
          <w:rFonts w:hint="eastAsia" w:ascii="仿宋_GB2312" w:eastAsia="仿宋_GB2312"/>
          <w:sz w:val="32"/>
          <w:szCs w:val="32"/>
        </w:rPr>
      </w:pPr>
      <w:r>
        <w:rPr>
          <w:rFonts w:hint="eastAsia" w:ascii="仿宋_GB2312" w:eastAsia="仿宋_GB2312"/>
          <w:sz w:val="32"/>
          <w:szCs w:val="32"/>
        </w:rPr>
        <w:t>（一）介绍部门预算基本情况</w:t>
      </w:r>
    </w:p>
    <w:p>
      <w:pPr>
        <w:keepNext w:val="0"/>
        <w:keepLines w:val="0"/>
        <w:pageBreakBefore w:val="0"/>
        <w:widowControl w:val="0"/>
        <w:numPr>
          <w:ilvl w:val="0"/>
          <w:numId w:val="0"/>
        </w:numPr>
        <w:kinsoku/>
        <w:wordWrap/>
        <w:overflowPunct/>
        <w:topLinePunct w:val="0"/>
        <w:autoSpaceDE/>
        <w:autoSpaceDN/>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2021年部门预算包括单位本级和所属二级单位预算在内的汇总情况。</w:t>
      </w:r>
    </w:p>
    <w:p>
      <w:pPr>
        <w:keepNext w:val="0"/>
        <w:keepLines w:val="0"/>
        <w:pageBreakBefore w:val="0"/>
        <w:widowControl w:val="0"/>
        <w:numPr>
          <w:ilvl w:val="0"/>
          <w:numId w:val="0"/>
        </w:numPr>
        <w:kinsoku/>
        <w:wordWrap/>
        <w:overflowPunct/>
        <w:topLinePunct w:val="0"/>
        <w:autoSpaceDE/>
        <w:autoSpaceDN/>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1．年度收支预算情况。</w:t>
      </w:r>
    </w:p>
    <w:p>
      <w:pPr>
        <w:keepNext w:val="0"/>
        <w:keepLines w:val="0"/>
        <w:pageBreakBefore w:val="0"/>
        <w:widowControl w:val="0"/>
        <w:kinsoku/>
        <w:wordWrap/>
        <w:overflowPunct/>
        <w:topLinePunct w:val="0"/>
        <w:autoSpaceDE/>
        <w:autoSpaceDN/>
        <w:bidi w:val="0"/>
        <w:snapToGrid/>
        <w:spacing w:line="580" w:lineRule="exact"/>
        <w:textAlignment w:val="auto"/>
        <w:outlineLvl w:val="9"/>
        <w:rPr>
          <w:rFonts w:hint="eastAsia" w:ascii="仿宋_GB2312" w:eastAsia="仿宋_GB2312"/>
          <w:sz w:val="32"/>
          <w:szCs w:val="32"/>
        </w:rPr>
      </w:pPr>
      <w:r>
        <w:rPr>
          <w:rFonts w:hint="eastAsia" w:ascii="仿宋_GB2312" w:eastAsia="仿宋_GB2312"/>
          <w:sz w:val="32"/>
          <w:szCs w:val="32"/>
        </w:rPr>
        <w:t xml:space="preserve">  </w:t>
      </w:r>
      <w:r>
        <w:rPr>
          <w:rFonts w:hint="eastAsia" w:ascii="仿宋_GB2312" w:eastAsia="仿宋_GB2312"/>
          <w:sz w:val="32"/>
          <w:szCs w:val="32"/>
          <w:lang w:val="en-US" w:eastAsia="zh-CN"/>
        </w:rPr>
        <w:t xml:space="preserve"> </w:t>
      </w:r>
      <w:r>
        <w:rPr>
          <w:rFonts w:hint="eastAsia" w:ascii="仿宋_GB2312" w:eastAsia="仿宋_GB2312"/>
          <w:sz w:val="32"/>
          <w:szCs w:val="32"/>
          <w:lang w:eastAsia="zh-CN"/>
        </w:rPr>
        <w:t>202</w:t>
      </w:r>
      <w:r>
        <w:rPr>
          <w:rFonts w:hint="eastAsia" w:ascii="仿宋_GB2312" w:eastAsia="仿宋_GB2312"/>
          <w:sz w:val="32"/>
          <w:szCs w:val="32"/>
          <w:lang w:val="en-US" w:eastAsia="zh-CN"/>
        </w:rPr>
        <w:t>1</w:t>
      </w:r>
      <w:r>
        <w:rPr>
          <w:rFonts w:hint="eastAsia" w:ascii="仿宋_GB2312" w:eastAsia="仿宋_GB2312"/>
          <w:sz w:val="32"/>
          <w:szCs w:val="32"/>
        </w:rPr>
        <w:t>年部门预算的汇总情况。</w:t>
      </w:r>
    </w:p>
    <w:p>
      <w:pPr>
        <w:keepNext w:val="0"/>
        <w:keepLines w:val="0"/>
        <w:pageBreakBefore w:val="0"/>
        <w:kinsoku/>
        <w:wordWrap/>
        <w:overflowPunct/>
        <w:topLinePunct w:val="0"/>
        <w:autoSpaceDE/>
        <w:autoSpaceDN/>
        <w:bidi w:val="0"/>
        <w:snapToGrid/>
        <w:spacing w:line="58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①收入预算，</w:t>
      </w:r>
      <w:r>
        <w:rPr>
          <w:rFonts w:hint="eastAsia" w:ascii="仿宋_GB2312" w:eastAsia="仿宋_GB2312"/>
          <w:sz w:val="32"/>
          <w:szCs w:val="32"/>
          <w:lang w:eastAsia="zh-CN"/>
        </w:rPr>
        <w:t>202</w:t>
      </w:r>
      <w:r>
        <w:rPr>
          <w:rFonts w:hint="eastAsia" w:ascii="仿宋_GB2312" w:eastAsia="仿宋_GB2312"/>
          <w:sz w:val="32"/>
          <w:szCs w:val="32"/>
          <w:lang w:val="en-US" w:eastAsia="zh-CN"/>
        </w:rPr>
        <w:t>1</w:t>
      </w:r>
      <w:r>
        <w:rPr>
          <w:rFonts w:hint="eastAsia" w:ascii="仿宋_GB2312" w:eastAsia="仿宋_GB2312"/>
          <w:sz w:val="32"/>
          <w:szCs w:val="32"/>
        </w:rPr>
        <w:t>年年初预算数</w:t>
      </w:r>
      <w:r>
        <w:rPr>
          <w:rFonts w:hint="eastAsia" w:ascii="仿宋_GB2312" w:eastAsia="仿宋_GB2312"/>
          <w:sz w:val="32"/>
          <w:szCs w:val="32"/>
          <w:lang w:val="en-US" w:eastAsia="zh-CN"/>
        </w:rPr>
        <w:t>150.61</w:t>
      </w:r>
      <w:r>
        <w:rPr>
          <w:rFonts w:hint="eastAsia" w:ascii="仿宋_GB2312" w:eastAsia="仿宋_GB2312"/>
          <w:sz w:val="32"/>
          <w:szCs w:val="32"/>
        </w:rPr>
        <w:t>万元，其中，一般公共预算拨款</w:t>
      </w:r>
      <w:r>
        <w:rPr>
          <w:rFonts w:hint="eastAsia" w:ascii="仿宋_GB2312" w:eastAsia="仿宋_GB2312"/>
          <w:sz w:val="32"/>
          <w:szCs w:val="32"/>
          <w:lang w:val="en-US" w:eastAsia="zh-CN"/>
        </w:rPr>
        <w:t>150.61</w:t>
      </w:r>
      <w:r>
        <w:rPr>
          <w:rFonts w:hint="eastAsia" w:ascii="仿宋_GB2312" w:eastAsia="仿宋_GB2312"/>
          <w:sz w:val="32"/>
          <w:szCs w:val="32"/>
        </w:rPr>
        <w:t>万元，政府性基金预算拨款</w:t>
      </w:r>
      <w:r>
        <w:rPr>
          <w:rFonts w:hint="eastAsia" w:ascii="仿宋_GB2312" w:eastAsia="仿宋_GB2312"/>
          <w:sz w:val="32"/>
          <w:szCs w:val="32"/>
          <w:lang w:val="en-US" w:eastAsia="zh-CN"/>
        </w:rPr>
        <w:t>0</w:t>
      </w:r>
      <w:r>
        <w:rPr>
          <w:rFonts w:hint="eastAsia" w:ascii="仿宋_GB2312" w:eastAsia="仿宋_GB2312"/>
          <w:sz w:val="32"/>
          <w:szCs w:val="32"/>
        </w:rPr>
        <w:t>万元，纳入财政专户管理的非税收入拨款</w:t>
      </w:r>
      <w:r>
        <w:rPr>
          <w:rFonts w:hint="eastAsia" w:ascii="仿宋_GB2312" w:eastAsia="仿宋_GB2312"/>
          <w:sz w:val="32"/>
          <w:szCs w:val="32"/>
          <w:lang w:val="en-US" w:eastAsia="zh-CN"/>
        </w:rPr>
        <w:t>0</w:t>
      </w:r>
      <w:r>
        <w:rPr>
          <w:rFonts w:hint="eastAsia" w:ascii="仿宋_GB2312" w:eastAsia="仿宋_GB2312"/>
          <w:sz w:val="32"/>
          <w:szCs w:val="32"/>
        </w:rPr>
        <w:t>万元，国有资本经营预算拨款</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，事业收入拨款</w:t>
      </w:r>
      <w:r>
        <w:rPr>
          <w:rFonts w:hint="eastAsia" w:ascii="仿宋_GB2312" w:eastAsia="仿宋_GB2312"/>
          <w:sz w:val="32"/>
          <w:szCs w:val="32"/>
          <w:lang w:val="en-US" w:eastAsia="zh-CN"/>
        </w:rPr>
        <w:t>0万元</w:t>
      </w:r>
      <w:r>
        <w:rPr>
          <w:rFonts w:hint="eastAsia" w:ascii="仿宋_GB2312" w:eastAsia="仿宋_GB2312"/>
          <w:sz w:val="32"/>
          <w:szCs w:val="32"/>
        </w:rPr>
        <w:t>。收入较去年</w:t>
      </w:r>
      <w:r>
        <w:rPr>
          <w:rFonts w:hint="eastAsia" w:ascii="仿宋_GB2312" w:eastAsia="仿宋_GB2312"/>
          <w:sz w:val="32"/>
          <w:szCs w:val="32"/>
          <w:lang w:val="en-US" w:eastAsia="zh-CN"/>
        </w:rPr>
        <w:t>157.30减少7.31</w:t>
      </w:r>
      <w:r>
        <w:rPr>
          <w:rFonts w:hint="eastAsia" w:ascii="仿宋_GB2312" w:eastAsia="仿宋_GB2312"/>
          <w:sz w:val="32"/>
          <w:szCs w:val="32"/>
        </w:rPr>
        <w:t>万元，主要</w:t>
      </w:r>
      <w:r>
        <w:rPr>
          <w:rFonts w:hint="eastAsia" w:ascii="仿宋_GB2312" w:eastAsia="仿宋_GB2312"/>
          <w:sz w:val="32"/>
          <w:szCs w:val="32"/>
          <w:lang w:eastAsia="zh-CN"/>
        </w:rPr>
        <w:t>原因</w:t>
      </w:r>
      <w:r>
        <w:rPr>
          <w:rFonts w:hint="eastAsia" w:ascii="仿宋_GB2312" w:eastAsia="仿宋_GB2312"/>
          <w:sz w:val="32"/>
          <w:szCs w:val="32"/>
          <w:lang w:val="en-US" w:eastAsia="zh-CN"/>
        </w:rPr>
        <w:t>是：</w:t>
      </w:r>
      <w:r>
        <w:rPr>
          <w:rFonts w:hint="eastAsia" w:ascii="仿宋_GB2312" w:eastAsia="仿宋_GB2312"/>
          <w:sz w:val="32"/>
          <w:szCs w:val="32"/>
        </w:rPr>
        <w:t>厉行节约，压缩了招商引资各项费用开支。</w:t>
      </w:r>
    </w:p>
    <w:p>
      <w:pPr>
        <w:keepNext w:val="0"/>
        <w:keepLines w:val="0"/>
        <w:pageBreakBefore w:val="0"/>
        <w:kinsoku/>
        <w:wordWrap/>
        <w:overflowPunct/>
        <w:topLinePunct w:val="0"/>
        <w:autoSpaceDE/>
        <w:autoSpaceDN/>
        <w:bidi w:val="0"/>
        <w:snapToGrid/>
        <w:spacing w:line="58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②支出预算，</w:t>
      </w:r>
      <w:r>
        <w:rPr>
          <w:rFonts w:hint="eastAsia" w:ascii="仿宋_GB2312" w:eastAsia="仿宋_GB2312"/>
          <w:sz w:val="32"/>
          <w:szCs w:val="32"/>
          <w:lang w:eastAsia="zh-CN"/>
        </w:rPr>
        <w:t>202</w:t>
      </w:r>
      <w:r>
        <w:rPr>
          <w:rFonts w:hint="eastAsia" w:ascii="仿宋_GB2312" w:eastAsia="仿宋_GB2312"/>
          <w:sz w:val="32"/>
          <w:szCs w:val="32"/>
          <w:lang w:val="en-US" w:eastAsia="zh-CN"/>
        </w:rPr>
        <w:t>1</w:t>
      </w:r>
      <w:r>
        <w:rPr>
          <w:rFonts w:hint="eastAsia" w:ascii="仿宋_GB2312" w:eastAsia="仿宋_GB2312"/>
          <w:sz w:val="32"/>
          <w:szCs w:val="32"/>
        </w:rPr>
        <w:t>年年初预算数</w:t>
      </w:r>
      <w:r>
        <w:rPr>
          <w:rFonts w:hint="eastAsia" w:ascii="仿宋_GB2312" w:eastAsia="仿宋_GB2312"/>
          <w:sz w:val="32"/>
          <w:szCs w:val="32"/>
          <w:lang w:val="en-US" w:eastAsia="zh-CN"/>
        </w:rPr>
        <w:t>150.61</w:t>
      </w:r>
      <w:r>
        <w:rPr>
          <w:rFonts w:hint="eastAsia" w:ascii="仿宋_GB2312" w:eastAsia="仿宋_GB2312"/>
          <w:sz w:val="32"/>
          <w:szCs w:val="32"/>
        </w:rPr>
        <w:t>万元，其中，</w:t>
      </w:r>
      <w:r>
        <w:rPr>
          <w:rFonts w:hint="eastAsia" w:ascii="仿宋_GB2312" w:eastAsia="仿宋_GB2312"/>
          <w:sz w:val="32"/>
          <w:szCs w:val="32"/>
          <w:lang w:val="en-US" w:eastAsia="zh-CN"/>
        </w:rPr>
        <w:t>人员支出85.36万元（工资福利支出85.36万元，对个人和家庭的补助0万元）；公用支出59.75万元；项目支出5.5万元。</w:t>
      </w:r>
      <w:r>
        <w:rPr>
          <w:rFonts w:hint="eastAsia" w:ascii="仿宋_GB2312" w:eastAsia="仿宋_GB2312"/>
          <w:sz w:val="32"/>
          <w:szCs w:val="32"/>
        </w:rPr>
        <w:t>支出较去年</w:t>
      </w:r>
      <w:r>
        <w:rPr>
          <w:rFonts w:hint="eastAsia" w:ascii="仿宋_GB2312" w:eastAsia="仿宋_GB2312"/>
          <w:sz w:val="32"/>
          <w:szCs w:val="32"/>
          <w:lang w:val="en-US" w:eastAsia="zh-CN"/>
        </w:rPr>
        <w:t>减少7.31</w:t>
      </w:r>
      <w:r>
        <w:rPr>
          <w:rFonts w:hint="eastAsia" w:ascii="仿宋_GB2312" w:eastAsia="仿宋_GB2312"/>
          <w:sz w:val="32"/>
          <w:szCs w:val="32"/>
        </w:rPr>
        <w:t>万元，主要</w:t>
      </w:r>
      <w:r>
        <w:rPr>
          <w:rFonts w:hint="eastAsia" w:ascii="仿宋_GB2312" w:eastAsia="仿宋_GB2312"/>
          <w:sz w:val="32"/>
          <w:szCs w:val="32"/>
          <w:lang w:eastAsia="zh-CN"/>
        </w:rPr>
        <w:t>原因</w:t>
      </w:r>
      <w:r>
        <w:rPr>
          <w:rFonts w:hint="eastAsia" w:ascii="仿宋_GB2312" w:eastAsia="仿宋_GB2312"/>
          <w:sz w:val="32"/>
          <w:szCs w:val="32"/>
        </w:rPr>
        <w:t>是</w:t>
      </w:r>
      <w:r>
        <w:rPr>
          <w:rFonts w:hint="eastAsia" w:ascii="仿宋_GB2312" w:eastAsia="仿宋_GB2312"/>
          <w:sz w:val="32"/>
          <w:szCs w:val="32"/>
          <w:lang w:eastAsia="zh-CN"/>
        </w:rPr>
        <w:t>：</w:t>
      </w:r>
      <w:r>
        <w:rPr>
          <w:rFonts w:hint="eastAsia" w:ascii="仿宋_GB2312" w:eastAsia="仿宋_GB2312"/>
          <w:sz w:val="32"/>
          <w:szCs w:val="32"/>
        </w:rPr>
        <w:t>厉行节约，压缩了招商引资各项费用开支。</w:t>
      </w:r>
    </w:p>
    <w:p>
      <w:pPr>
        <w:keepNext w:val="0"/>
        <w:keepLines w:val="0"/>
        <w:pageBreakBefore w:val="0"/>
        <w:widowControl w:val="0"/>
        <w:kinsoku/>
        <w:wordWrap/>
        <w:overflowPunct/>
        <w:topLinePunct w:val="0"/>
        <w:autoSpaceDE/>
        <w:autoSpaceDN/>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2．年度一般公共预算财政拨款支出情况</w:t>
      </w:r>
    </w:p>
    <w:p>
      <w:pPr>
        <w:keepNext w:val="0"/>
        <w:keepLines w:val="0"/>
        <w:pageBreakBefore w:val="0"/>
        <w:widowControl w:val="0"/>
        <w:kinsoku/>
        <w:wordWrap/>
        <w:overflowPunct/>
        <w:topLinePunct w:val="0"/>
        <w:autoSpaceDE/>
        <w:autoSpaceDN/>
        <w:bidi w:val="0"/>
        <w:snapToGrid/>
        <w:spacing w:line="580" w:lineRule="exact"/>
        <w:textAlignment w:val="auto"/>
        <w:outlineLvl w:val="9"/>
        <w:rPr>
          <w:rFonts w:hint="eastAsia" w:ascii="仿宋_GB2312" w:eastAsia="仿宋_GB2312"/>
          <w:color w:val="000000" w:themeColor="text1"/>
          <w:sz w:val="32"/>
          <w:szCs w:val="32"/>
          <w14:textFill>
            <w14:solidFill>
              <w14:schemeClr w14:val="tx1"/>
            </w14:solidFill>
          </w14:textFill>
        </w:rPr>
      </w:pPr>
      <w:r>
        <w:rPr>
          <w:rFonts w:hint="eastAsia" w:ascii="仿宋_GB2312" w:eastAsia="仿宋_GB2312"/>
          <w:sz w:val="32"/>
          <w:szCs w:val="32"/>
        </w:rPr>
        <w:t xml:space="preserve"> </w:t>
      </w:r>
      <w:r>
        <w:rPr>
          <w:rFonts w:hint="eastAsia" w:ascii="仿宋_GB2312" w:eastAsia="仿宋_GB2312"/>
          <w:color w:val="FF0000"/>
          <w:sz w:val="32"/>
          <w:szCs w:val="32"/>
        </w:rPr>
        <w:t xml:space="preserve"> </w:t>
      </w:r>
      <w:r>
        <w:rPr>
          <w:rFonts w:hint="eastAsia" w:ascii="仿宋_GB2312" w:eastAsia="仿宋_GB2312"/>
          <w:color w:val="000000" w:themeColor="text1"/>
          <w:sz w:val="32"/>
          <w:szCs w:val="32"/>
          <w14:textFill>
            <w14:solidFill>
              <w14:schemeClr w14:val="tx1"/>
            </w14:solidFill>
          </w14:textFill>
        </w:rPr>
        <w:t xml:space="preserve"> ①基本支出：</w:t>
      </w:r>
      <w:r>
        <w:rPr>
          <w:rFonts w:hint="eastAsia" w:ascii="仿宋_GB2312" w:eastAsia="仿宋_GB2312"/>
          <w:color w:val="000000" w:themeColor="text1"/>
          <w:sz w:val="32"/>
          <w:szCs w:val="32"/>
          <w:lang w:eastAsia="zh-CN"/>
          <w14:textFill>
            <w14:solidFill>
              <w14:schemeClr w14:val="tx1"/>
            </w14:solidFill>
          </w14:textFill>
        </w:rPr>
        <w:t>202</w:t>
      </w:r>
      <w:r>
        <w:rPr>
          <w:rFonts w:hint="eastAsia" w:ascii="仿宋_GB2312" w:eastAsia="仿宋_GB2312"/>
          <w:color w:val="000000" w:themeColor="text1"/>
          <w:sz w:val="32"/>
          <w:szCs w:val="32"/>
          <w:lang w:val="en-US" w:eastAsia="zh-CN"/>
          <w14:textFill>
            <w14:solidFill>
              <w14:schemeClr w14:val="tx1"/>
            </w14:solidFill>
          </w14:textFill>
        </w:rPr>
        <w:t>1</w:t>
      </w:r>
      <w:r>
        <w:rPr>
          <w:rFonts w:hint="eastAsia" w:ascii="仿宋_GB2312" w:eastAsia="仿宋_GB2312"/>
          <w:color w:val="000000" w:themeColor="text1"/>
          <w:sz w:val="32"/>
          <w:szCs w:val="32"/>
          <w14:textFill>
            <w14:solidFill>
              <w14:schemeClr w14:val="tx1"/>
            </w14:solidFill>
          </w14:textFill>
        </w:rPr>
        <w:t>年年初预算数为</w:t>
      </w:r>
      <w:r>
        <w:rPr>
          <w:rFonts w:hint="eastAsia" w:ascii="仿宋_GB2312" w:eastAsia="仿宋_GB2312"/>
          <w:color w:val="000000" w:themeColor="text1"/>
          <w:sz w:val="32"/>
          <w:szCs w:val="32"/>
          <w:lang w:val="en-US" w:eastAsia="zh-CN"/>
          <w14:textFill>
            <w14:solidFill>
              <w14:schemeClr w14:val="tx1"/>
            </w14:solidFill>
          </w14:textFill>
        </w:rPr>
        <w:t>145.11</w:t>
      </w:r>
      <w:r>
        <w:rPr>
          <w:rFonts w:hint="eastAsia" w:ascii="仿宋_GB2312" w:eastAsia="仿宋_GB2312"/>
          <w:color w:val="000000" w:themeColor="text1"/>
          <w:sz w:val="32"/>
          <w:szCs w:val="32"/>
          <w14:textFill>
            <w14:solidFill>
              <w14:schemeClr w14:val="tx1"/>
            </w14:solidFill>
          </w14:textFill>
        </w:rPr>
        <w:t>万元，是指为保障单位机构正常运转、完成日常工作任务而发生的各项支出，包括用于基本工资、津贴补贴等人员经费以及办公费、印刷费、水电费、物业管理费等日常公用经费；</w:t>
      </w:r>
    </w:p>
    <w:p>
      <w:pPr>
        <w:keepNext w:val="0"/>
        <w:keepLines w:val="0"/>
        <w:pageBreakBefore w:val="0"/>
        <w:widowControl w:val="0"/>
        <w:kinsoku/>
        <w:wordWrap/>
        <w:overflowPunct/>
        <w:topLinePunct w:val="0"/>
        <w:autoSpaceDE/>
        <w:autoSpaceDN/>
        <w:bidi w:val="0"/>
        <w:snapToGrid/>
        <w:spacing w:line="580" w:lineRule="exact"/>
        <w:ind w:firstLine="640"/>
        <w:textAlignment w:val="auto"/>
        <w:outlineLvl w:val="9"/>
        <w:rPr>
          <w:rFonts w:hint="eastAsia" w:ascii="仿宋_GB2312" w:eastAsia="仿宋_GB2312"/>
          <w:color w:val="000000" w:themeColor="text1"/>
          <w:sz w:val="32"/>
          <w:szCs w:val="32"/>
          <w:lang w:eastAsia="zh-CN"/>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②项目支出：</w:t>
      </w:r>
      <w:r>
        <w:rPr>
          <w:rFonts w:hint="eastAsia" w:ascii="仿宋_GB2312" w:eastAsia="仿宋_GB2312"/>
          <w:color w:val="000000" w:themeColor="text1"/>
          <w:sz w:val="32"/>
          <w:szCs w:val="32"/>
          <w:lang w:eastAsia="zh-CN"/>
          <w14:textFill>
            <w14:solidFill>
              <w14:schemeClr w14:val="tx1"/>
            </w14:solidFill>
          </w14:textFill>
        </w:rPr>
        <w:t>202</w:t>
      </w:r>
      <w:r>
        <w:rPr>
          <w:rFonts w:hint="eastAsia" w:ascii="仿宋_GB2312" w:eastAsia="仿宋_GB2312"/>
          <w:color w:val="000000" w:themeColor="text1"/>
          <w:sz w:val="32"/>
          <w:szCs w:val="32"/>
          <w:lang w:val="en-US" w:eastAsia="zh-CN"/>
          <w14:textFill>
            <w14:solidFill>
              <w14:schemeClr w14:val="tx1"/>
            </w14:solidFill>
          </w14:textFill>
        </w:rPr>
        <w:t>1</w:t>
      </w:r>
      <w:r>
        <w:rPr>
          <w:rFonts w:hint="eastAsia" w:ascii="仿宋_GB2312" w:eastAsia="仿宋_GB2312"/>
          <w:color w:val="000000" w:themeColor="text1"/>
          <w:sz w:val="32"/>
          <w:szCs w:val="32"/>
          <w14:textFill>
            <w14:solidFill>
              <w14:schemeClr w14:val="tx1"/>
            </w14:solidFill>
          </w14:textFill>
        </w:rPr>
        <w:t>年年初预算数为</w:t>
      </w:r>
      <w:r>
        <w:rPr>
          <w:rFonts w:hint="eastAsia" w:ascii="仿宋_GB2312" w:eastAsia="仿宋_GB2312"/>
          <w:color w:val="000000" w:themeColor="text1"/>
          <w:sz w:val="32"/>
          <w:szCs w:val="32"/>
          <w:lang w:val="en-US" w:eastAsia="zh-CN"/>
          <w14:textFill>
            <w14:solidFill>
              <w14:schemeClr w14:val="tx1"/>
            </w14:solidFill>
          </w14:textFill>
        </w:rPr>
        <w:t>5.5</w:t>
      </w:r>
      <w:r>
        <w:rPr>
          <w:rFonts w:hint="eastAsia" w:ascii="仿宋_GB2312" w:eastAsia="仿宋_GB2312"/>
          <w:color w:val="000000" w:themeColor="text1"/>
          <w:sz w:val="32"/>
          <w:szCs w:val="32"/>
          <w14:textFill>
            <w14:solidFill>
              <w14:schemeClr w14:val="tx1"/>
            </w14:solidFill>
          </w14:textFill>
        </w:rPr>
        <w:t>万元，是指单位</w:t>
      </w:r>
      <w:r>
        <w:rPr>
          <w:rFonts w:hint="eastAsia" w:ascii="仿宋_GB2312" w:eastAsia="仿宋_GB2312"/>
          <w:color w:val="000000" w:themeColor="text1"/>
          <w:sz w:val="32"/>
          <w:szCs w:val="32"/>
          <w:lang w:eastAsia="zh-CN"/>
          <w14:textFill>
            <w14:solidFill>
              <w14:schemeClr w14:val="tx1"/>
            </w14:solidFill>
          </w14:textFill>
        </w:rPr>
        <w:t>为</w:t>
      </w:r>
      <w:r>
        <w:rPr>
          <w:rFonts w:hint="eastAsia" w:ascii="仿宋_GB2312" w:eastAsia="仿宋_GB2312"/>
          <w:color w:val="000000" w:themeColor="text1"/>
          <w:sz w:val="32"/>
          <w:szCs w:val="32"/>
          <w14:textFill>
            <w14:solidFill>
              <w14:schemeClr w14:val="tx1"/>
            </w14:solidFill>
          </w14:textFill>
        </w:rPr>
        <w:t>完成特定行政工作任务或事业发展目标而发生的支出，包括有</w:t>
      </w:r>
      <w:r>
        <w:rPr>
          <w:rFonts w:hint="eastAsia" w:ascii="仿宋_GB2312" w:eastAsia="仿宋_GB2312"/>
          <w:color w:val="000000" w:themeColor="text1"/>
          <w:sz w:val="32"/>
          <w:szCs w:val="32"/>
          <w:lang w:eastAsia="zh-CN"/>
          <w14:textFill>
            <w14:solidFill>
              <w14:schemeClr w14:val="tx1"/>
            </w14:solidFill>
          </w14:textFill>
        </w:rPr>
        <w:t>产业</w:t>
      </w:r>
      <w:r>
        <w:rPr>
          <w:rFonts w:hint="eastAsia" w:ascii="仿宋_GB2312" w:eastAsia="仿宋_GB2312"/>
          <w:color w:val="000000" w:themeColor="text1"/>
          <w:sz w:val="32"/>
          <w:szCs w:val="32"/>
          <w14:textFill>
            <w14:solidFill>
              <w14:schemeClr w14:val="tx1"/>
            </w14:solidFill>
          </w14:textFill>
        </w:rPr>
        <w:t>发展</w:t>
      </w:r>
      <w:r>
        <w:rPr>
          <w:rFonts w:hint="eastAsia" w:ascii="仿宋_GB2312" w:eastAsia="仿宋_GB2312"/>
          <w:color w:val="000000" w:themeColor="text1"/>
          <w:sz w:val="32"/>
          <w:szCs w:val="32"/>
          <w:lang w:eastAsia="zh-CN"/>
          <w14:textFill>
            <w14:solidFill>
              <w14:schemeClr w14:val="tx1"/>
            </w14:solidFill>
          </w14:textFill>
        </w:rPr>
        <w:t>引导类</w:t>
      </w:r>
      <w:r>
        <w:rPr>
          <w:rFonts w:hint="eastAsia" w:ascii="仿宋_GB2312" w:eastAsia="仿宋_GB2312"/>
          <w:color w:val="000000" w:themeColor="text1"/>
          <w:sz w:val="32"/>
          <w:szCs w:val="32"/>
          <w:lang w:val="en-US" w:eastAsia="zh-CN"/>
          <w14:textFill>
            <w14:solidFill>
              <w14:schemeClr w14:val="tx1"/>
            </w14:solidFill>
          </w14:textFill>
        </w:rPr>
        <w:t>0万元</w:t>
      </w:r>
      <w:r>
        <w:rPr>
          <w:rFonts w:hint="eastAsia" w:ascii="仿宋_GB2312" w:eastAsia="仿宋_GB2312"/>
          <w:color w:val="000000" w:themeColor="text1"/>
          <w:sz w:val="32"/>
          <w:szCs w:val="32"/>
          <w14:textFill>
            <w14:solidFill>
              <w14:schemeClr w14:val="tx1"/>
            </w14:solidFill>
          </w14:textFill>
        </w:rPr>
        <w:t>、专项业务费</w:t>
      </w:r>
      <w:r>
        <w:rPr>
          <w:rFonts w:hint="eastAsia" w:ascii="仿宋_GB2312" w:eastAsia="仿宋_GB2312"/>
          <w:color w:val="000000" w:themeColor="text1"/>
          <w:sz w:val="32"/>
          <w:szCs w:val="32"/>
          <w:lang w:eastAsia="zh-CN"/>
          <w14:textFill>
            <w14:solidFill>
              <w14:schemeClr w14:val="tx1"/>
            </w14:solidFill>
          </w14:textFill>
        </w:rPr>
        <w:t>用类</w:t>
      </w:r>
      <w:r>
        <w:rPr>
          <w:rFonts w:hint="eastAsia" w:ascii="仿宋_GB2312" w:eastAsia="仿宋_GB2312"/>
          <w:color w:val="000000" w:themeColor="text1"/>
          <w:sz w:val="32"/>
          <w:szCs w:val="32"/>
          <w:lang w:val="en-US" w:eastAsia="zh-CN"/>
          <w14:textFill>
            <w14:solidFill>
              <w14:schemeClr w14:val="tx1"/>
            </w14:solidFill>
          </w14:textFill>
        </w:rPr>
        <w:t>5.5万元</w:t>
      </w:r>
      <w:r>
        <w:rPr>
          <w:rFonts w:hint="eastAsia" w:ascii="仿宋_GB2312" w:eastAsia="仿宋_GB2312"/>
          <w:color w:val="000000" w:themeColor="text1"/>
          <w:sz w:val="32"/>
          <w:szCs w:val="32"/>
          <w14:textFill>
            <w14:solidFill>
              <w14:schemeClr w14:val="tx1"/>
            </w14:solidFill>
          </w14:textFill>
        </w:rPr>
        <w:t>、基本建设</w:t>
      </w:r>
      <w:r>
        <w:rPr>
          <w:rFonts w:hint="eastAsia" w:ascii="仿宋_GB2312" w:eastAsia="仿宋_GB2312"/>
          <w:color w:val="000000" w:themeColor="text1"/>
          <w:sz w:val="32"/>
          <w:szCs w:val="32"/>
          <w:lang w:eastAsia="zh-CN"/>
          <w14:textFill>
            <w14:solidFill>
              <w14:schemeClr w14:val="tx1"/>
            </w14:solidFill>
          </w14:textFill>
        </w:rPr>
        <w:t>类</w:t>
      </w:r>
      <w:r>
        <w:rPr>
          <w:rFonts w:hint="eastAsia" w:ascii="仿宋_GB2312" w:eastAsia="仿宋_GB2312"/>
          <w:color w:val="000000" w:themeColor="text1"/>
          <w:sz w:val="32"/>
          <w:szCs w:val="32"/>
          <w:lang w:val="en-US" w:eastAsia="zh-CN"/>
          <w14:textFill>
            <w14:solidFill>
              <w14:schemeClr w14:val="tx1"/>
            </w14:solidFill>
          </w14:textFill>
        </w:rPr>
        <w:t>0万元</w:t>
      </w:r>
      <w:r>
        <w:rPr>
          <w:rFonts w:hint="eastAsia" w:ascii="仿宋_GB2312" w:eastAsia="仿宋_GB2312"/>
          <w:color w:val="000000" w:themeColor="text1"/>
          <w:sz w:val="32"/>
          <w:szCs w:val="32"/>
          <w:lang w:eastAsia="zh-CN"/>
          <w14:textFill>
            <w14:solidFill>
              <w14:schemeClr w14:val="tx1"/>
            </w14:solidFill>
          </w14:textFill>
        </w:rPr>
        <w:t>、对个人和家庭补助类</w:t>
      </w:r>
      <w:r>
        <w:rPr>
          <w:rFonts w:hint="eastAsia" w:ascii="仿宋_GB2312" w:eastAsia="仿宋_GB2312"/>
          <w:color w:val="000000" w:themeColor="text1"/>
          <w:sz w:val="32"/>
          <w:szCs w:val="32"/>
          <w:lang w:val="en-US" w:eastAsia="zh-CN"/>
          <w14:textFill>
            <w14:solidFill>
              <w14:schemeClr w14:val="tx1"/>
            </w14:solidFill>
          </w14:textFill>
        </w:rPr>
        <w:t>0万元</w:t>
      </w:r>
      <w:r>
        <w:rPr>
          <w:rFonts w:hint="eastAsia" w:ascii="仿宋_GB2312" w:eastAsia="仿宋_GB2312"/>
          <w:color w:val="000000" w:themeColor="text1"/>
          <w:sz w:val="32"/>
          <w:szCs w:val="32"/>
          <w14:textFill>
            <w14:solidFill>
              <w14:schemeClr w14:val="tx1"/>
            </w14:solidFill>
          </w14:textFill>
        </w:rPr>
        <w:t>。</w:t>
      </w:r>
    </w:p>
    <w:p>
      <w:pPr>
        <w:keepNext w:val="0"/>
        <w:keepLines w:val="0"/>
        <w:pageBreakBefore w:val="0"/>
        <w:widowControl w:val="0"/>
        <w:numPr>
          <w:ilvl w:val="0"/>
          <w:numId w:val="2"/>
        </w:numPr>
        <w:kinsoku/>
        <w:wordWrap/>
        <w:overflowPunct/>
        <w:topLinePunct w:val="0"/>
        <w:autoSpaceDE/>
        <w:autoSpaceDN/>
        <w:bidi w:val="0"/>
        <w:snapToGrid/>
        <w:spacing w:line="580" w:lineRule="exact"/>
        <w:ind w:firstLine="640"/>
        <w:textAlignment w:val="auto"/>
        <w:outlineLvl w:val="9"/>
        <w:rPr>
          <w:rFonts w:hint="eastAsia" w:ascii="仿宋_GB2312" w:eastAsia="仿宋_GB2312"/>
          <w:color w:val="000000" w:themeColor="text1"/>
          <w:sz w:val="32"/>
          <w:szCs w:val="32"/>
          <w:lang w:val="en-US" w:eastAsia="zh-CN"/>
          <w14:textFill>
            <w14:solidFill>
              <w14:schemeClr w14:val="tx1"/>
            </w14:solidFill>
          </w14:textFill>
        </w:rPr>
      </w:pPr>
      <w:r>
        <w:rPr>
          <w:rFonts w:hint="eastAsia" w:ascii="仿宋_GB2312" w:eastAsia="仿宋_GB2312"/>
          <w:color w:val="000000" w:themeColor="text1"/>
          <w:sz w:val="32"/>
          <w:szCs w:val="32"/>
          <w:lang w:val="en-US" w:eastAsia="zh-CN"/>
          <w14:textFill>
            <w14:solidFill>
              <w14:schemeClr w14:val="tx1"/>
            </w14:solidFill>
          </w14:textFill>
        </w:rPr>
        <w:t>政府性基金支出</w:t>
      </w:r>
    </w:p>
    <w:p>
      <w:pPr>
        <w:keepNext w:val="0"/>
        <w:keepLines w:val="0"/>
        <w:pageBreakBefore w:val="0"/>
        <w:widowControl w:val="0"/>
        <w:numPr>
          <w:ilvl w:val="0"/>
          <w:numId w:val="0"/>
        </w:numPr>
        <w:kinsoku/>
        <w:wordWrap/>
        <w:overflowPunct/>
        <w:topLinePunct w:val="0"/>
        <w:autoSpaceDE/>
        <w:autoSpaceDN/>
        <w:bidi w:val="0"/>
        <w:snapToGrid/>
        <w:spacing w:line="580" w:lineRule="exact"/>
        <w:ind w:firstLine="640"/>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2021年无政府性基金支出。</w:t>
      </w:r>
    </w:p>
    <w:p>
      <w:pPr>
        <w:keepNext w:val="0"/>
        <w:keepLines w:val="0"/>
        <w:pageBreakBefore w:val="0"/>
        <w:widowControl w:val="0"/>
        <w:numPr>
          <w:ilvl w:val="0"/>
          <w:numId w:val="0"/>
        </w:numPr>
        <w:kinsoku/>
        <w:wordWrap/>
        <w:overflowPunct/>
        <w:topLinePunct w:val="0"/>
        <w:autoSpaceDE/>
        <w:autoSpaceDN/>
        <w:bidi w:val="0"/>
        <w:snapToGrid/>
        <w:spacing w:line="580" w:lineRule="exact"/>
        <w:ind w:firstLine="640"/>
        <w:textAlignment w:val="auto"/>
        <w:outlineLvl w:val="9"/>
        <w:rPr>
          <w:rFonts w:hint="eastAsia" w:ascii="仿宋_GB2312" w:eastAsia="仿宋_GB2312"/>
          <w:sz w:val="32"/>
          <w:szCs w:val="32"/>
        </w:rPr>
      </w:pPr>
      <w:r>
        <w:rPr>
          <w:rFonts w:hint="eastAsia" w:ascii="仿宋_GB2312" w:eastAsia="仿宋_GB2312"/>
          <w:sz w:val="32"/>
          <w:szCs w:val="32"/>
        </w:rPr>
        <w:t>(二）年度“三公”经费预算情况</w:t>
      </w:r>
    </w:p>
    <w:p>
      <w:pPr>
        <w:keepNext w:val="0"/>
        <w:keepLines w:val="0"/>
        <w:pageBreakBefore w:val="0"/>
        <w:widowControl w:val="0"/>
        <w:kinsoku/>
        <w:wordWrap/>
        <w:overflowPunct/>
        <w:topLinePunct w:val="0"/>
        <w:autoSpaceDE/>
        <w:autoSpaceDN/>
        <w:bidi w:val="0"/>
        <w:snapToGrid/>
        <w:spacing w:line="580" w:lineRule="exact"/>
        <w:ind w:firstLine="640" w:firstLineChars="200"/>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eastAsia="zh-CN"/>
        </w:rPr>
        <w:t>202</w:t>
      </w:r>
      <w:r>
        <w:rPr>
          <w:rFonts w:hint="eastAsia" w:ascii="仿宋_GB2312" w:eastAsia="仿宋_GB2312"/>
          <w:sz w:val="32"/>
          <w:szCs w:val="32"/>
          <w:lang w:val="en-US" w:eastAsia="zh-CN"/>
        </w:rPr>
        <w:t>1</w:t>
      </w:r>
      <w:r>
        <w:rPr>
          <w:rFonts w:hint="eastAsia" w:ascii="仿宋_GB2312" w:eastAsia="仿宋_GB2312"/>
          <w:sz w:val="32"/>
          <w:szCs w:val="32"/>
        </w:rPr>
        <w:t>年“三公”经费预算数为</w:t>
      </w:r>
      <w:r>
        <w:rPr>
          <w:rFonts w:hint="eastAsia" w:ascii="仿宋_GB2312" w:eastAsia="仿宋_GB2312"/>
          <w:sz w:val="32"/>
          <w:szCs w:val="32"/>
          <w:lang w:val="en-US" w:eastAsia="zh-CN"/>
        </w:rPr>
        <w:t>2.05</w:t>
      </w:r>
      <w:r>
        <w:rPr>
          <w:rFonts w:hint="eastAsia" w:ascii="仿宋_GB2312" w:eastAsia="仿宋_GB2312"/>
          <w:sz w:val="32"/>
          <w:szCs w:val="32"/>
        </w:rPr>
        <w:t>万元，其中，公务接待费</w:t>
      </w:r>
      <w:r>
        <w:rPr>
          <w:rFonts w:hint="eastAsia" w:ascii="仿宋_GB2312" w:eastAsia="仿宋_GB2312"/>
          <w:sz w:val="32"/>
          <w:szCs w:val="32"/>
          <w:lang w:val="en-US" w:eastAsia="zh-CN"/>
        </w:rPr>
        <w:t>2.05</w:t>
      </w:r>
      <w:r>
        <w:rPr>
          <w:rFonts w:hint="eastAsia" w:ascii="仿宋_GB2312" w:eastAsia="仿宋_GB2312"/>
          <w:sz w:val="32"/>
          <w:szCs w:val="32"/>
        </w:rPr>
        <w:t>万元，公务用车购置及运行费</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（其中：</w:t>
      </w:r>
      <w:r>
        <w:rPr>
          <w:rFonts w:hint="eastAsia" w:ascii="仿宋_GB2312" w:eastAsia="仿宋_GB2312"/>
          <w:sz w:val="32"/>
          <w:szCs w:val="32"/>
        </w:rPr>
        <w:t>公务用车购置</w:t>
      </w:r>
      <w:r>
        <w:rPr>
          <w:rFonts w:hint="eastAsia" w:ascii="仿宋_GB2312" w:eastAsia="仿宋_GB2312"/>
          <w:sz w:val="32"/>
          <w:szCs w:val="32"/>
          <w:lang w:eastAsia="zh-CN"/>
        </w:rPr>
        <w:t>费是</w:t>
      </w:r>
      <w:r>
        <w:rPr>
          <w:rFonts w:hint="eastAsia" w:ascii="仿宋_GB2312" w:eastAsia="仿宋_GB2312"/>
          <w:sz w:val="32"/>
          <w:szCs w:val="32"/>
          <w:lang w:val="en-US" w:eastAsia="zh-CN"/>
        </w:rPr>
        <w:t>0万元，公务用车运行费0万元</w:t>
      </w:r>
      <w:r>
        <w:rPr>
          <w:rFonts w:hint="eastAsia" w:ascii="仿宋_GB2312" w:eastAsia="仿宋_GB2312"/>
          <w:sz w:val="32"/>
          <w:szCs w:val="32"/>
          <w:lang w:eastAsia="zh-CN"/>
        </w:rPr>
        <w:t>）</w:t>
      </w:r>
      <w:r>
        <w:rPr>
          <w:rFonts w:hint="eastAsia" w:ascii="仿宋_GB2312" w:eastAsia="仿宋_GB2312"/>
          <w:sz w:val="32"/>
          <w:szCs w:val="32"/>
        </w:rPr>
        <w:t>，因公出国（境）费</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202</w:t>
      </w:r>
      <w:r>
        <w:rPr>
          <w:rFonts w:hint="eastAsia" w:ascii="仿宋_GB2312" w:eastAsia="仿宋_GB2312"/>
          <w:sz w:val="32"/>
          <w:szCs w:val="32"/>
          <w:lang w:val="en-US" w:eastAsia="zh-CN"/>
        </w:rPr>
        <w:t>1</w:t>
      </w:r>
      <w:r>
        <w:rPr>
          <w:rFonts w:hint="eastAsia" w:ascii="仿宋_GB2312" w:eastAsia="仿宋_GB2312"/>
          <w:sz w:val="32"/>
          <w:szCs w:val="32"/>
        </w:rPr>
        <w:t>年“三公”经费预算较20</w:t>
      </w:r>
      <w:r>
        <w:rPr>
          <w:rFonts w:hint="eastAsia" w:ascii="仿宋_GB2312" w:eastAsia="仿宋_GB2312"/>
          <w:sz w:val="32"/>
          <w:szCs w:val="32"/>
          <w:lang w:val="en-US" w:eastAsia="zh-CN"/>
        </w:rPr>
        <w:t>20</w:t>
      </w:r>
      <w:r>
        <w:rPr>
          <w:rFonts w:hint="eastAsia" w:ascii="仿宋_GB2312" w:eastAsia="仿宋_GB2312"/>
          <w:sz w:val="32"/>
          <w:szCs w:val="32"/>
        </w:rPr>
        <w:t>年预算数减少</w:t>
      </w:r>
      <w:r>
        <w:rPr>
          <w:rFonts w:hint="eastAsia" w:ascii="仿宋_GB2312" w:eastAsia="仿宋_GB2312"/>
          <w:sz w:val="32"/>
          <w:szCs w:val="32"/>
          <w:lang w:val="en-US" w:eastAsia="zh-CN"/>
        </w:rPr>
        <w:t>0.98</w:t>
      </w:r>
      <w:r>
        <w:rPr>
          <w:rFonts w:hint="eastAsia" w:ascii="仿宋_GB2312" w:eastAsia="仿宋_GB2312"/>
          <w:sz w:val="32"/>
          <w:szCs w:val="32"/>
        </w:rPr>
        <w:t>万元，下降</w:t>
      </w:r>
      <w:r>
        <w:rPr>
          <w:rFonts w:hint="eastAsia" w:ascii="仿宋_GB2312" w:eastAsia="仿宋_GB2312"/>
          <w:sz w:val="32"/>
          <w:szCs w:val="32"/>
          <w:lang w:val="en-US" w:eastAsia="zh-CN"/>
        </w:rPr>
        <w:t>32</w:t>
      </w:r>
      <w:r>
        <w:rPr>
          <w:rFonts w:hint="eastAsia" w:ascii="仿宋_GB2312" w:eastAsia="仿宋_GB2312"/>
          <w:sz w:val="32"/>
          <w:szCs w:val="32"/>
        </w:rPr>
        <w:t>%，主要</w:t>
      </w:r>
      <w:r>
        <w:rPr>
          <w:rFonts w:hint="eastAsia" w:ascii="仿宋_GB2312" w:eastAsia="仿宋_GB2312"/>
          <w:sz w:val="32"/>
          <w:szCs w:val="32"/>
          <w:lang w:eastAsia="zh-CN"/>
        </w:rPr>
        <w:t>原</w:t>
      </w:r>
      <w:r>
        <w:rPr>
          <w:rFonts w:hint="eastAsia" w:ascii="仿宋_GB2312" w:eastAsia="仿宋_GB2312"/>
          <w:sz w:val="32"/>
          <w:szCs w:val="32"/>
        </w:rPr>
        <w:t>因</w:t>
      </w:r>
      <w:r>
        <w:rPr>
          <w:rFonts w:hint="eastAsia" w:ascii="仿宋_GB2312" w:eastAsia="仿宋_GB2312"/>
          <w:sz w:val="32"/>
          <w:szCs w:val="32"/>
          <w:lang w:eastAsia="zh-CN"/>
        </w:rPr>
        <w:t>是：</w:t>
      </w:r>
      <w:r>
        <w:rPr>
          <w:rFonts w:hint="eastAsia" w:ascii="仿宋_GB2312" w:eastAsia="仿宋_GB2312"/>
          <w:sz w:val="32"/>
          <w:szCs w:val="32"/>
          <w:lang w:val="en-US" w:eastAsia="zh-CN"/>
        </w:rPr>
        <w:t>贯彻落实中央、省、委关于牢固树立过紧日子思想大力压减一般性支出的十条措施的通知精神。</w:t>
      </w:r>
    </w:p>
    <w:p>
      <w:pPr>
        <w:keepNext w:val="0"/>
        <w:keepLines w:val="0"/>
        <w:pageBreakBefore w:val="0"/>
        <w:widowControl w:val="0"/>
        <w:kinsoku/>
        <w:wordWrap/>
        <w:overflowPunct/>
        <w:topLinePunct w:val="0"/>
        <w:autoSpaceDE/>
        <w:autoSpaceDN/>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（三）年度机关运行经费预算情况</w:t>
      </w:r>
    </w:p>
    <w:p>
      <w:pPr>
        <w:keepNext w:val="0"/>
        <w:keepLines w:val="0"/>
        <w:pageBreakBefore w:val="0"/>
        <w:widowControl w:val="0"/>
        <w:kinsoku/>
        <w:wordWrap/>
        <w:overflowPunct/>
        <w:topLinePunct w:val="0"/>
        <w:autoSpaceDE/>
        <w:autoSpaceDN/>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eastAsia="zh-CN"/>
        </w:rPr>
        <w:t>202</w:t>
      </w:r>
      <w:r>
        <w:rPr>
          <w:rFonts w:hint="eastAsia" w:ascii="仿宋_GB2312" w:eastAsia="仿宋_GB2312"/>
          <w:sz w:val="32"/>
          <w:szCs w:val="32"/>
          <w:lang w:val="en-US" w:eastAsia="zh-CN"/>
        </w:rPr>
        <w:t>1</w:t>
      </w:r>
      <w:r>
        <w:rPr>
          <w:rFonts w:hint="eastAsia" w:ascii="仿宋_GB2312" w:eastAsia="仿宋_GB2312"/>
          <w:sz w:val="32"/>
          <w:szCs w:val="32"/>
        </w:rPr>
        <w:t>年</w:t>
      </w:r>
      <w:r>
        <w:rPr>
          <w:rFonts w:hint="eastAsia" w:ascii="仿宋_GB2312" w:eastAsia="仿宋_GB2312"/>
          <w:sz w:val="32"/>
          <w:szCs w:val="32"/>
          <w:lang w:val="en-US" w:eastAsia="zh-CN"/>
        </w:rPr>
        <w:t>区工商联</w:t>
      </w:r>
      <w:r>
        <w:rPr>
          <w:rFonts w:hint="eastAsia" w:ascii="仿宋_GB2312" w:eastAsia="仿宋_GB2312"/>
          <w:sz w:val="32"/>
          <w:szCs w:val="32"/>
        </w:rPr>
        <w:t>运行经费一般公共预算拨款</w:t>
      </w:r>
      <w:r>
        <w:rPr>
          <w:rFonts w:hint="eastAsia" w:ascii="仿宋_GB2312" w:eastAsia="仿宋_GB2312"/>
          <w:sz w:val="32"/>
          <w:szCs w:val="32"/>
          <w:lang w:val="en-US" w:eastAsia="zh-CN"/>
        </w:rPr>
        <w:t>59.75</w:t>
      </w:r>
      <w:r>
        <w:rPr>
          <w:rFonts w:hint="eastAsia" w:ascii="仿宋_GB2312" w:eastAsia="仿宋_GB2312"/>
          <w:sz w:val="32"/>
          <w:szCs w:val="32"/>
        </w:rPr>
        <w:t>万元</w:t>
      </w:r>
      <w:r>
        <w:rPr>
          <w:rFonts w:hint="eastAsia" w:ascii="仿宋_GB2312" w:eastAsia="仿宋_GB2312"/>
          <w:color w:val="auto"/>
          <w:sz w:val="32"/>
          <w:szCs w:val="32"/>
          <w:lang w:eastAsia="zh-CN"/>
        </w:rPr>
        <w:t>（其中：办公费</w:t>
      </w:r>
      <w:r>
        <w:rPr>
          <w:rFonts w:hint="eastAsia" w:ascii="仿宋_GB2312" w:eastAsia="仿宋_GB2312"/>
          <w:color w:val="auto"/>
          <w:sz w:val="32"/>
          <w:szCs w:val="32"/>
          <w:lang w:val="en-US" w:eastAsia="zh-CN"/>
        </w:rPr>
        <w:t>10.6万元、印刷费10.4万元，咨询费1.9万元，差旅费2.3万元，租赁费1.9万元；会议费12.8万元，培训费3.8万元，公务接待费1.9万元，劳务费2.1万元，工会经费3.32万元，福利费3.51万元，其他商品和服务支出5.1万元，福利费0.12万元</w:t>
      </w:r>
      <w:r>
        <w:rPr>
          <w:rFonts w:hint="eastAsia" w:ascii="仿宋_GB2312" w:eastAsia="仿宋_GB2312"/>
          <w:color w:val="auto"/>
          <w:sz w:val="32"/>
          <w:szCs w:val="32"/>
          <w:lang w:eastAsia="zh-CN"/>
        </w:rPr>
        <w:t>）。</w:t>
      </w:r>
      <w:r>
        <w:rPr>
          <w:rFonts w:hint="eastAsia" w:ascii="仿宋_GB2312" w:eastAsia="仿宋_GB2312"/>
          <w:sz w:val="32"/>
          <w:szCs w:val="32"/>
        </w:rPr>
        <w:t>相比20</w:t>
      </w:r>
      <w:r>
        <w:rPr>
          <w:rFonts w:hint="eastAsia" w:ascii="仿宋_GB2312" w:eastAsia="仿宋_GB2312"/>
          <w:sz w:val="32"/>
          <w:szCs w:val="32"/>
          <w:lang w:val="en-US" w:eastAsia="zh-CN"/>
        </w:rPr>
        <w:t>20</w:t>
      </w:r>
      <w:r>
        <w:rPr>
          <w:rFonts w:hint="eastAsia" w:ascii="仿宋_GB2312" w:eastAsia="仿宋_GB2312"/>
          <w:sz w:val="32"/>
          <w:szCs w:val="32"/>
        </w:rPr>
        <w:t>年预算数</w:t>
      </w:r>
      <w:r>
        <w:rPr>
          <w:rFonts w:hint="eastAsia" w:ascii="仿宋_GB2312" w:eastAsia="仿宋_GB2312"/>
          <w:sz w:val="32"/>
          <w:szCs w:val="32"/>
          <w:lang w:val="en-US" w:eastAsia="zh-CN"/>
        </w:rPr>
        <w:t>65.13减少5.38</w:t>
      </w:r>
      <w:r>
        <w:rPr>
          <w:rFonts w:hint="eastAsia" w:ascii="仿宋_GB2312" w:eastAsia="仿宋_GB2312"/>
          <w:sz w:val="32"/>
          <w:szCs w:val="32"/>
        </w:rPr>
        <w:t>万元，</w:t>
      </w:r>
      <w:r>
        <w:rPr>
          <w:rFonts w:hint="eastAsia" w:ascii="仿宋_GB2312" w:eastAsia="仿宋_GB2312"/>
          <w:sz w:val="32"/>
          <w:szCs w:val="32"/>
          <w:lang w:val="en-US" w:eastAsia="zh-CN"/>
        </w:rPr>
        <w:t>减少8</w:t>
      </w:r>
      <w:r>
        <w:rPr>
          <w:rFonts w:hint="eastAsia" w:ascii="仿宋_GB2312" w:eastAsia="仿宋_GB2312"/>
          <w:sz w:val="32"/>
          <w:szCs w:val="32"/>
        </w:rPr>
        <w:t>%。</w:t>
      </w:r>
    </w:p>
    <w:p>
      <w:pPr>
        <w:keepNext w:val="0"/>
        <w:keepLines w:val="0"/>
        <w:pageBreakBefore w:val="0"/>
        <w:widowControl w:val="0"/>
        <w:kinsoku/>
        <w:wordWrap/>
        <w:overflowPunct/>
        <w:topLinePunct w:val="0"/>
        <w:autoSpaceDE/>
        <w:autoSpaceDN/>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（四）年度政府采购支出预算情况</w:t>
      </w:r>
    </w:p>
    <w:p>
      <w:pPr>
        <w:keepNext w:val="0"/>
        <w:keepLines w:val="0"/>
        <w:pageBreakBefore w:val="0"/>
        <w:widowControl w:val="0"/>
        <w:kinsoku/>
        <w:wordWrap/>
        <w:overflowPunct/>
        <w:topLinePunct w:val="0"/>
        <w:autoSpaceDE/>
        <w:autoSpaceDN/>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eastAsia="zh-CN"/>
        </w:rPr>
        <w:t>202</w:t>
      </w:r>
      <w:r>
        <w:rPr>
          <w:rFonts w:hint="eastAsia" w:ascii="仿宋_GB2312" w:eastAsia="仿宋_GB2312"/>
          <w:sz w:val="32"/>
          <w:szCs w:val="32"/>
          <w:lang w:val="en-US" w:eastAsia="zh-CN"/>
        </w:rPr>
        <w:t>1</w:t>
      </w:r>
      <w:r>
        <w:rPr>
          <w:rFonts w:hint="eastAsia" w:ascii="仿宋_GB2312" w:eastAsia="仿宋_GB2312"/>
          <w:sz w:val="32"/>
          <w:szCs w:val="32"/>
        </w:rPr>
        <w:t>年</w:t>
      </w:r>
      <w:r>
        <w:rPr>
          <w:rFonts w:hint="eastAsia" w:ascii="仿宋_GB2312" w:eastAsia="仿宋_GB2312"/>
          <w:sz w:val="32"/>
          <w:szCs w:val="32"/>
          <w:lang w:val="en-US" w:eastAsia="zh-CN"/>
        </w:rPr>
        <w:t>区工商联</w:t>
      </w:r>
      <w:r>
        <w:rPr>
          <w:rFonts w:hint="eastAsia" w:ascii="仿宋_GB2312" w:eastAsia="仿宋_GB2312"/>
          <w:sz w:val="32"/>
          <w:szCs w:val="32"/>
        </w:rPr>
        <w:t>政府采购预算总额</w:t>
      </w:r>
      <w:r>
        <w:rPr>
          <w:rFonts w:hint="eastAsia" w:ascii="仿宋_GB2312" w:eastAsia="仿宋_GB2312"/>
          <w:sz w:val="32"/>
          <w:szCs w:val="32"/>
          <w:lang w:val="en-US" w:eastAsia="zh-CN"/>
        </w:rPr>
        <w:t>0</w:t>
      </w:r>
      <w:r>
        <w:rPr>
          <w:rFonts w:hint="eastAsia" w:ascii="仿宋_GB2312" w:eastAsia="仿宋_GB2312"/>
          <w:sz w:val="32"/>
          <w:szCs w:val="32"/>
        </w:rPr>
        <w:t>万元，其中，政府采购货物预算</w:t>
      </w:r>
      <w:r>
        <w:rPr>
          <w:rFonts w:hint="eastAsia" w:ascii="仿宋_GB2312" w:eastAsia="仿宋_GB2312"/>
          <w:sz w:val="32"/>
          <w:szCs w:val="32"/>
          <w:lang w:val="en-US" w:eastAsia="zh-CN"/>
        </w:rPr>
        <w:t>0</w:t>
      </w:r>
      <w:r>
        <w:rPr>
          <w:rFonts w:hint="eastAsia" w:ascii="仿宋_GB2312" w:eastAsia="仿宋_GB2312"/>
          <w:sz w:val="32"/>
          <w:szCs w:val="32"/>
        </w:rPr>
        <w:t>万元，政府采购工程预算</w:t>
      </w:r>
      <w:r>
        <w:rPr>
          <w:rFonts w:hint="eastAsia" w:ascii="仿宋_GB2312" w:eastAsia="仿宋_GB2312"/>
          <w:sz w:val="32"/>
          <w:szCs w:val="32"/>
          <w:lang w:val="en-US" w:eastAsia="zh-CN"/>
        </w:rPr>
        <w:t>0</w:t>
      </w:r>
      <w:r>
        <w:rPr>
          <w:rFonts w:hint="eastAsia" w:ascii="仿宋_GB2312" w:eastAsia="仿宋_GB2312"/>
          <w:sz w:val="32"/>
          <w:szCs w:val="32"/>
        </w:rPr>
        <w:t>万元、政府采购服务预算</w:t>
      </w:r>
      <w:r>
        <w:rPr>
          <w:rFonts w:hint="eastAsia" w:ascii="仿宋_GB2312" w:eastAsia="仿宋_GB2312"/>
          <w:sz w:val="32"/>
          <w:szCs w:val="32"/>
          <w:lang w:val="en-US" w:eastAsia="zh-CN"/>
        </w:rPr>
        <w:t>0</w:t>
      </w:r>
      <w:r>
        <w:rPr>
          <w:rFonts w:hint="eastAsia" w:ascii="仿宋_GB2312" w:eastAsia="仿宋_GB2312"/>
          <w:sz w:val="32"/>
          <w:szCs w:val="32"/>
        </w:rPr>
        <w:t>万元。</w:t>
      </w:r>
    </w:p>
    <w:p>
      <w:pPr>
        <w:keepNext w:val="0"/>
        <w:keepLines w:val="0"/>
        <w:pageBreakBefore w:val="0"/>
        <w:widowControl w:val="0"/>
        <w:numPr>
          <w:ilvl w:val="0"/>
          <w:numId w:val="3"/>
        </w:numPr>
        <w:kinsoku/>
        <w:wordWrap/>
        <w:overflowPunct/>
        <w:topLinePunct w:val="0"/>
        <w:autoSpaceDE/>
        <w:autoSpaceDN/>
        <w:bidi w:val="0"/>
        <w:snapToGrid/>
        <w:spacing w:line="580" w:lineRule="exact"/>
        <w:ind w:firstLine="640" w:firstLineChars="200"/>
        <w:textAlignment w:val="auto"/>
        <w:outlineLvl w:val="9"/>
        <w:rPr>
          <w:rFonts w:hint="eastAsia" w:ascii="仿宋_GB2312" w:eastAsia="仿宋_GB2312"/>
          <w:sz w:val="32"/>
          <w:szCs w:val="32"/>
          <w:lang w:eastAsia="zh-CN"/>
        </w:rPr>
      </w:pPr>
      <w:r>
        <w:rPr>
          <w:rFonts w:hint="eastAsia" w:ascii="仿宋_GB2312" w:eastAsia="仿宋_GB2312"/>
          <w:sz w:val="32"/>
          <w:szCs w:val="32"/>
        </w:rPr>
        <w:t>国有资产占用</w:t>
      </w:r>
      <w:r>
        <w:rPr>
          <w:rFonts w:hint="eastAsia" w:ascii="仿宋_GB2312" w:eastAsia="仿宋_GB2312"/>
          <w:sz w:val="32"/>
          <w:szCs w:val="32"/>
          <w:lang w:eastAsia="zh-CN"/>
        </w:rPr>
        <w:t>情况</w:t>
      </w:r>
    </w:p>
    <w:p>
      <w:pPr>
        <w:keepNext w:val="0"/>
        <w:keepLines w:val="0"/>
        <w:pageBreakBefore w:val="0"/>
        <w:widowControl w:val="0"/>
        <w:numPr>
          <w:ilvl w:val="0"/>
          <w:numId w:val="0"/>
        </w:numPr>
        <w:kinsoku/>
        <w:wordWrap/>
        <w:overflowPunct/>
        <w:topLinePunct w:val="0"/>
        <w:autoSpaceDE/>
        <w:autoSpaceDN/>
        <w:bidi w:val="0"/>
        <w:snapToGrid/>
        <w:spacing w:line="580" w:lineRule="exact"/>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 xml:space="preserve">     1、截至2020年12月31日，本部门共有车辆0辆，其中，一般公务用车0辆、一般执法执勤用车0辆、特种专业技术用车0辆、其他用车0辆。单位价值50万元以上通用设备0台（套），单价100万元以上专用设备0台（套）。</w:t>
      </w:r>
    </w:p>
    <w:p>
      <w:pPr>
        <w:keepNext w:val="0"/>
        <w:keepLines w:val="0"/>
        <w:pageBreakBefore w:val="0"/>
        <w:widowControl w:val="0"/>
        <w:numPr>
          <w:ilvl w:val="0"/>
          <w:numId w:val="0"/>
        </w:numPr>
        <w:kinsoku/>
        <w:wordWrap/>
        <w:overflowPunct/>
        <w:topLinePunct w:val="0"/>
        <w:autoSpaceDE/>
        <w:autoSpaceDN/>
        <w:bidi w:val="0"/>
        <w:snapToGrid/>
        <w:spacing w:line="580" w:lineRule="exact"/>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 xml:space="preserve">    2、2021年，本部门拟新增资产具体为：公用车辆0辆，价值0万元；单价50万元以上通用设备0台（套）；单位100万元以上的专用设备0台（套）。</w:t>
      </w:r>
    </w:p>
    <w:p>
      <w:pPr>
        <w:keepNext w:val="0"/>
        <w:keepLines w:val="0"/>
        <w:pageBreakBefore w:val="0"/>
        <w:widowControl w:val="0"/>
        <w:numPr>
          <w:ilvl w:val="0"/>
          <w:numId w:val="0"/>
        </w:numPr>
        <w:kinsoku/>
        <w:wordWrap/>
        <w:overflowPunct/>
        <w:topLinePunct w:val="0"/>
        <w:autoSpaceDE/>
        <w:autoSpaceDN/>
        <w:bidi w:val="0"/>
        <w:snapToGrid/>
        <w:spacing w:line="580" w:lineRule="exact"/>
        <w:ind w:firstLine="320" w:firstLineChars="100"/>
        <w:textAlignment w:val="auto"/>
        <w:outlineLvl w:val="9"/>
        <w:rPr>
          <w:rFonts w:hint="eastAsia" w:ascii="仿宋_GB2312" w:eastAsia="仿宋_GB2312"/>
          <w:sz w:val="32"/>
          <w:szCs w:val="32"/>
          <w:lang w:eastAsia="zh-CN"/>
        </w:rPr>
      </w:pPr>
      <w:r>
        <w:rPr>
          <w:rFonts w:hint="eastAsia" w:ascii="仿宋_GB2312" w:eastAsia="仿宋_GB2312"/>
          <w:sz w:val="32"/>
          <w:szCs w:val="32"/>
          <w:lang w:eastAsia="zh-CN"/>
        </w:rPr>
        <w:t>（</w:t>
      </w:r>
      <w:r>
        <w:rPr>
          <w:rFonts w:hint="eastAsia" w:ascii="仿宋_GB2312" w:eastAsia="仿宋_GB2312"/>
          <w:sz w:val="32"/>
          <w:szCs w:val="32"/>
          <w:lang w:val="en-US" w:eastAsia="zh-CN"/>
        </w:rPr>
        <w:t>六）</w:t>
      </w:r>
      <w:r>
        <w:rPr>
          <w:rFonts w:hint="eastAsia" w:ascii="仿宋_GB2312" w:eastAsia="仿宋_GB2312"/>
          <w:sz w:val="32"/>
          <w:szCs w:val="32"/>
          <w:lang w:eastAsia="zh-CN"/>
        </w:rPr>
        <w:t>预算绩效管理情况</w:t>
      </w:r>
    </w:p>
    <w:p>
      <w:pPr>
        <w:keepNext w:val="0"/>
        <w:keepLines w:val="0"/>
        <w:pageBreakBefore w:val="0"/>
        <w:widowControl/>
        <w:numPr>
          <w:ilvl w:val="0"/>
          <w:numId w:val="0"/>
        </w:numPr>
        <w:kinsoku/>
        <w:wordWrap/>
        <w:overflowPunct/>
        <w:topLinePunct w:val="0"/>
        <w:autoSpaceDE/>
        <w:autoSpaceDN/>
        <w:bidi w:val="0"/>
        <w:adjustRightInd/>
        <w:snapToGrid/>
        <w:spacing w:line="580" w:lineRule="exact"/>
        <w:ind w:left="0" w:leftChars="0" w:right="0" w:rightChars="0" w:firstLine="640" w:firstLineChars="200"/>
        <w:jc w:val="left"/>
        <w:textAlignment w:val="auto"/>
        <w:outlineLvl w:val="9"/>
        <w:rPr>
          <w:rFonts w:hint="eastAsia" w:ascii="仿宋_GB2312" w:eastAsia="仿宋_GB2312"/>
          <w:sz w:val="32"/>
          <w:szCs w:val="32"/>
          <w:lang w:val="en-US" w:eastAsia="zh-CN"/>
        </w:rPr>
      </w:pPr>
      <w:r>
        <w:rPr>
          <w:rFonts w:hint="eastAsia" w:eastAsia="仿宋_GB2312"/>
          <w:b w:val="0"/>
          <w:bCs w:val="0"/>
          <w:color w:val="000000" w:themeColor="text1"/>
          <w:sz w:val="32"/>
          <w:szCs w:val="32"/>
          <w:lang w:val="en-US" w:eastAsia="zh-CN"/>
          <w14:textFill>
            <w14:solidFill>
              <w14:schemeClr w14:val="tx1"/>
            </w14:solidFill>
          </w14:textFill>
        </w:rPr>
        <w:t>按照我区预算绩效管理工作的总体要求，2021年我单位整体支出150.61万元，</w:t>
      </w:r>
      <w:r>
        <w:rPr>
          <w:rFonts w:hint="eastAsia" w:eastAsia="仿宋_GB2312"/>
          <w:b w:val="0"/>
          <w:bCs w:val="0"/>
          <w:sz w:val="32"/>
          <w:szCs w:val="32"/>
          <w:lang w:val="en-US" w:eastAsia="zh-CN"/>
        </w:rPr>
        <w:t>全部实行整体支出绩效目标管理，编报绩效目标的项目1个，涉及项目支出5.5万元，其中</w:t>
      </w:r>
      <w:r>
        <w:rPr>
          <w:rFonts w:hint="eastAsia" w:eastAsia="仿宋_GB2312"/>
          <w:sz w:val="32"/>
          <w:szCs w:val="32"/>
          <w:lang w:eastAsia="zh-CN"/>
        </w:rPr>
        <w:t>专项业务费用类项目</w:t>
      </w:r>
      <w:r>
        <w:rPr>
          <w:rFonts w:hint="eastAsia" w:eastAsia="仿宋_GB2312"/>
          <w:sz w:val="32"/>
          <w:szCs w:val="32"/>
          <w:lang w:val="en-US" w:eastAsia="zh-CN"/>
        </w:rPr>
        <w:t>1</w:t>
      </w:r>
      <w:r>
        <w:rPr>
          <w:rFonts w:hint="eastAsia" w:eastAsia="仿宋_GB2312"/>
          <w:sz w:val="32"/>
          <w:szCs w:val="32"/>
          <w:lang w:eastAsia="zh-CN"/>
        </w:rPr>
        <w:t>个，共</w:t>
      </w:r>
      <w:r>
        <w:rPr>
          <w:rFonts w:hint="eastAsia" w:eastAsia="仿宋_GB2312"/>
          <w:sz w:val="32"/>
          <w:szCs w:val="32"/>
          <w:lang w:val="en-US" w:eastAsia="zh-CN"/>
        </w:rPr>
        <w:t>5.5</w:t>
      </w:r>
      <w:r>
        <w:rPr>
          <w:rFonts w:hint="eastAsia" w:eastAsia="仿宋_GB2312"/>
          <w:b w:val="0"/>
          <w:bCs w:val="0"/>
          <w:sz w:val="32"/>
          <w:szCs w:val="32"/>
          <w:lang w:val="en-US" w:eastAsia="zh-CN"/>
        </w:rPr>
        <w:t>万元，</w:t>
      </w:r>
      <w:r>
        <w:rPr>
          <w:rFonts w:hint="eastAsia" w:eastAsia="仿宋_GB2312"/>
          <w:sz w:val="32"/>
          <w:szCs w:val="32"/>
          <w:lang w:eastAsia="zh-CN"/>
        </w:rPr>
        <w:t>基本建设类项目</w:t>
      </w:r>
      <w:r>
        <w:rPr>
          <w:rFonts w:hint="eastAsia" w:eastAsia="仿宋_GB2312"/>
          <w:sz w:val="32"/>
          <w:szCs w:val="32"/>
          <w:lang w:val="en-US" w:eastAsia="zh-CN"/>
        </w:rPr>
        <w:t>0</w:t>
      </w:r>
      <w:r>
        <w:rPr>
          <w:rFonts w:hint="eastAsia" w:eastAsia="仿宋_GB2312"/>
          <w:sz w:val="32"/>
          <w:szCs w:val="32"/>
          <w:lang w:eastAsia="zh-CN"/>
        </w:rPr>
        <w:t>个，共</w:t>
      </w:r>
      <w:r>
        <w:rPr>
          <w:rFonts w:hint="eastAsia" w:eastAsia="仿宋_GB2312"/>
          <w:sz w:val="32"/>
          <w:szCs w:val="32"/>
          <w:lang w:val="en-US" w:eastAsia="zh-CN"/>
        </w:rPr>
        <w:t>0</w:t>
      </w:r>
      <w:r>
        <w:rPr>
          <w:rFonts w:hint="eastAsia" w:eastAsia="仿宋_GB2312"/>
          <w:b w:val="0"/>
          <w:bCs w:val="0"/>
          <w:sz w:val="32"/>
          <w:szCs w:val="32"/>
          <w:lang w:val="en-US" w:eastAsia="zh-CN"/>
        </w:rPr>
        <w:t>万元，</w:t>
      </w:r>
      <w:r>
        <w:rPr>
          <w:rFonts w:hint="eastAsia" w:eastAsia="仿宋_GB2312"/>
          <w:sz w:val="32"/>
          <w:szCs w:val="32"/>
          <w:lang w:eastAsia="zh-CN"/>
        </w:rPr>
        <w:t>对个人和家庭补助类项目</w:t>
      </w:r>
      <w:r>
        <w:rPr>
          <w:rFonts w:hint="eastAsia" w:eastAsia="仿宋_GB2312"/>
          <w:sz w:val="32"/>
          <w:szCs w:val="32"/>
          <w:lang w:val="en-US" w:eastAsia="zh-CN"/>
        </w:rPr>
        <w:t>0</w:t>
      </w:r>
      <w:r>
        <w:rPr>
          <w:rFonts w:hint="eastAsia" w:eastAsia="仿宋_GB2312"/>
          <w:sz w:val="32"/>
          <w:szCs w:val="32"/>
          <w:lang w:eastAsia="zh-CN"/>
        </w:rPr>
        <w:t>个，共</w:t>
      </w:r>
      <w:r>
        <w:rPr>
          <w:rFonts w:hint="eastAsia" w:eastAsia="仿宋_GB2312"/>
          <w:sz w:val="32"/>
          <w:szCs w:val="32"/>
          <w:lang w:val="en-US" w:eastAsia="zh-CN"/>
        </w:rPr>
        <w:t>0</w:t>
      </w:r>
      <w:r>
        <w:rPr>
          <w:rFonts w:hint="eastAsia" w:eastAsia="仿宋_GB2312"/>
          <w:b w:val="0"/>
          <w:bCs w:val="0"/>
          <w:sz w:val="32"/>
          <w:szCs w:val="32"/>
          <w:lang w:val="en-US" w:eastAsia="zh-CN"/>
        </w:rPr>
        <w:t>万元，产业发展引导类项目0</w:t>
      </w:r>
      <w:r>
        <w:rPr>
          <w:rFonts w:hint="eastAsia" w:eastAsia="仿宋_GB2312"/>
          <w:sz w:val="32"/>
          <w:szCs w:val="32"/>
          <w:lang w:eastAsia="zh-CN"/>
        </w:rPr>
        <w:t>个，共</w:t>
      </w:r>
      <w:r>
        <w:rPr>
          <w:rFonts w:hint="eastAsia" w:eastAsia="仿宋_GB2312"/>
          <w:sz w:val="32"/>
          <w:szCs w:val="32"/>
          <w:lang w:val="en-US" w:eastAsia="zh-CN"/>
        </w:rPr>
        <w:t>0</w:t>
      </w:r>
      <w:r>
        <w:rPr>
          <w:rFonts w:hint="eastAsia" w:eastAsia="仿宋_GB2312"/>
          <w:b w:val="0"/>
          <w:bCs w:val="0"/>
          <w:sz w:val="32"/>
          <w:szCs w:val="32"/>
          <w:lang w:val="en-US" w:eastAsia="zh-CN"/>
        </w:rPr>
        <w:t>万元</w:t>
      </w:r>
      <w:r>
        <w:rPr>
          <w:rFonts w:hint="eastAsia" w:eastAsia="仿宋_GB2312"/>
          <w:sz w:val="32"/>
          <w:szCs w:val="32"/>
          <w:lang w:val="en-US" w:eastAsia="zh-CN"/>
        </w:rPr>
        <w:t>，</w:t>
      </w:r>
      <w:r>
        <w:rPr>
          <w:rFonts w:hint="eastAsia" w:eastAsia="仿宋_GB2312"/>
          <w:b w:val="0"/>
          <w:bCs w:val="0"/>
          <w:sz w:val="32"/>
          <w:szCs w:val="32"/>
          <w:lang w:val="en-US" w:eastAsia="zh-CN"/>
        </w:rPr>
        <w:t>全部实行项目支出绩效目标管理。</w:t>
      </w:r>
    </w:p>
    <w:p>
      <w:pPr>
        <w:keepNext w:val="0"/>
        <w:keepLines w:val="0"/>
        <w:pageBreakBefore w:val="0"/>
        <w:widowControl w:val="0"/>
        <w:kinsoku/>
        <w:wordWrap/>
        <w:overflowPunct/>
        <w:topLinePunct w:val="0"/>
        <w:autoSpaceDE/>
        <w:autoSpaceDN/>
        <w:bidi w:val="0"/>
        <w:snapToGrid/>
        <w:spacing w:line="580" w:lineRule="exact"/>
        <w:ind w:firstLine="640" w:firstLineChars="200"/>
        <w:textAlignment w:val="auto"/>
        <w:outlineLvl w:val="9"/>
        <w:rPr>
          <w:rFonts w:hint="eastAsia" w:ascii="黑体" w:eastAsia="黑体"/>
          <w:sz w:val="32"/>
          <w:szCs w:val="32"/>
        </w:rPr>
      </w:pPr>
      <w:r>
        <w:rPr>
          <w:rFonts w:hint="eastAsia" w:ascii="黑体" w:eastAsia="黑体"/>
          <w:sz w:val="32"/>
          <w:szCs w:val="32"/>
          <w:lang w:eastAsia="zh-CN"/>
        </w:rPr>
        <w:t>三</w:t>
      </w:r>
      <w:r>
        <w:rPr>
          <w:rFonts w:hint="eastAsia" w:ascii="黑体" w:eastAsia="黑体"/>
          <w:sz w:val="32"/>
          <w:szCs w:val="32"/>
        </w:rPr>
        <w:t>、专业名词解释</w:t>
      </w:r>
    </w:p>
    <w:p>
      <w:pPr>
        <w:keepNext w:val="0"/>
        <w:keepLines w:val="0"/>
        <w:pageBreakBefore w:val="0"/>
        <w:widowControl w:val="0"/>
        <w:kinsoku/>
        <w:wordWrap/>
        <w:overflowPunct/>
        <w:topLinePunct w:val="0"/>
        <w:autoSpaceDE/>
        <w:autoSpaceDN/>
        <w:bidi w:val="0"/>
        <w:snapToGrid/>
        <w:spacing w:line="58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1、机关运行经费：为保障行政单位（包括参照公务员法管理的事业单位）运行，用一般公共预算拨款安排用于购买货物和服务的各项资金，包括办公及印刷费、邮电费、差旅费、会议费、福利费、日常维修费、办公用房水电费、办公用房取暖费、办公用房物业管理费、公务用车运行维护费以及其他费用。</w:t>
      </w:r>
    </w:p>
    <w:p>
      <w:pPr>
        <w:keepNext w:val="0"/>
        <w:keepLines w:val="0"/>
        <w:pageBreakBefore w:val="0"/>
        <w:widowControl w:val="0"/>
        <w:kinsoku/>
        <w:wordWrap/>
        <w:overflowPunct/>
        <w:topLinePunct w:val="0"/>
        <w:autoSpaceDE/>
        <w:autoSpaceDN/>
        <w:bidi w:val="0"/>
        <w:adjustRightInd w:val="0"/>
        <w:snapToGrid/>
        <w:spacing w:line="580" w:lineRule="exact"/>
        <w:ind w:firstLine="640" w:firstLineChars="200"/>
        <w:textAlignment w:val="auto"/>
        <w:outlineLvl w:val="9"/>
      </w:pPr>
      <w:r>
        <w:rPr>
          <w:rFonts w:hint="eastAsia" w:ascii="仿宋_GB2312" w:eastAsia="仿宋_GB2312"/>
          <w:sz w:val="32"/>
          <w:szCs w:val="32"/>
        </w:rPr>
        <w:t>2．“三公”经费：纳入财政预算管理的“三公“经费， 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w:t>
      </w:r>
      <w:r>
        <w:rPr>
          <w:rFonts w:hint="eastAsia" w:ascii="仿宋_GB2312" w:eastAsia="仿宋_GB2312"/>
          <w:sz w:val="32"/>
          <w:szCs w:val="32"/>
          <w:lang w:eastAsia="zh-CN"/>
        </w:rPr>
        <w:t>位</w:t>
      </w:r>
      <w:r>
        <w:rPr>
          <w:rFonts w:hint="eastAsia" w:ascii="仿宋_GB2312" w:eastAsia="仿宋_GB2312"/>
          <w:sz w:val="32"/>
          <w:szCs w:val="32"/>
        </w:rPr>
        <w:t>公务出国(境)费、国外城市间交通费、食宿费等支出。</w:t>
      </w:r>
      <w:bookmarkStart w:id="0" w:name="_GoBack"/>
      <w:bookmarkEnd w:id="0"/>
    </w:p>
    <w:sectPr>
      <w:headerReference r:id="rId3" w:type="default"/>
      <w:footerReference r:id="rId4" w:type="default"/>
      <w:pgSz w:w="11906" w:h="16838"/>
      <w:pgMar w:top="1440" w:right="1780" w:bottom="1440" w:left="178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eastAsia="宋体"/>
        <w:lang w:val="en-US" w:eastAsia="zh-CN"/>
      </w:rPr>
    </w:pPr>
    <w:r>
      <w:rPr>
        <w:sz w:val="18"/>
      </w:rPr>
      <mc:AlternateContent>
        <mc:Choice Requires="wps">
          <w:drawing>
            <wp:anchor distT="0" distB="0" distL="114300" distR="114300" simplePos="0" relativeHeight="251659264" behindDoc="0" locked="0" layoutInCell="1" allowOverlap="1">
              <wp:simplePos x="0" y="0"/>
              <wp:positionH relativeFrom="margin">
                <wp:align>left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left;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F92BC8"/>
    <w:multiLevelType w:val="singleLevel"/>
    <w:tmpl w:val="CAF92BC8"/>
    <w:lvl w:ilvl="0" w:tentative="0">
      <w:start w:val="5"/>
      <w:numFmt w:val="chineseCounting"/>
      <w:suff w:val="nothing"/>
      <w:lvlText w:val="（%1）"/>
      <w:lvlJc w:val="left"/>
      <w:rPr>
        <w:rFonts w:hint="eastAsia"/>
      </w:rPr>
    </w:lvl>
  </w:abstractNum>
  <w:abstractNum w:abstractNumId="1">
    <w:nsid w:val="0068E993"/>
    <w:multiLevelType w:val="singleLevel"/>
    <w:tmpl w:val="0068E993"/>
    <w:lvl w:ilvl="0" w:tentative="0">
      <w:start w:val="6"/>
      <w:numFmt w:val="chineseCounting"/>
      <w:suff w:val="nothing"/>
      <w:lvlText w:val="（%1）"/>
      <w:lvlJc w:val="left"/>
      <w:rPr>
        <w:rFonts w:hint="eastAsia"/>
      </w:rPr>
    </w:lvl>
  </w:abstractNum>
  <w:abstractNum w:abstractNumId="2">
    <w:nsid w:val="381B9E31"/>
    <w:multiLevelType w:val="singleLevel"/>
    <w:tmpl w:val="381B9E31"/>
    <w:lvl w:ilvl="0" w:tentative="0">
      <w:start w:val="3"/>
      <w:numFmt w:val="decimal"/>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FhMjgwYThkZjg2ZDc0NzM1NWY4NTZiYmFlMTlhODkifQ=="/>
  </w:docVars>
  <w:rsids>
    <w:rsidRoot w:val="1BBE1EE5"/>
    <w:rsid w:val="0230236E"/>
    <w:rsid w:val="0A08159A"/>
    <w:rsid w:val="0A2C4EEA"/>
    <w:rsid w:val="0B8D4545"/>
    <w:rsid w:val="0C6F4717"/>
    <w:rsid w:val="115822F2"/>
    <w:rsid w:val="18C1645C"/>
    <w:rsid w:val="1AC45417"/>
    <w:rsid w:val="1B120D1E"/>
    <w:rsid w:val="1BBE1EE5"/>
    <w:rsid w:val="1C1B0019"/>
    <w:rsid w:val="1D2126AD"/>
    <w:rsid w:val="25FA451E"/>
    <w:rsid w:val="294F4B81"/>
    <w:rsid w:val="2994287F"/>
    <w:rsid w:val="29A66906"/>
    <w:rsid w:val="2D8F7A49"/>
    <w:rsid w:val="30185CCC"/>
    <w:rsid w:val="348E2A01"/>
    <w:rsid w:val="37E33064"/>
    <w:rsid w:val="3EAD42DF"/>
    <w:rsid w:val="48B313D2"/>
    <w:rsid w:val="4A8D2F8D"/>
    <w:rsid w:val="4B9C02AF"/>
    <w:rsid w:val="51075448"/>
    <w:rsid w:val="53574F96"/>
    <w:rsid w:val="53CD537C"/>
    <w:rsid w:val="5BF674C8"/>
    <w:rsid w:val="613C0311"/>
    <w:rsid w:val="66D92816"/>
    <w:rsid w:val="774008E0"/>
    <w:rsid w:val="789631FF"/>
    <w:rsid w:val="78B7206E"/>
    <w:rsid w:val="792A29FB"/>
    <w:rsid w:val="797D616D"/>
    <w:rsid w:val="7D1820A7"/>
    <w:rsid w:val="7E0501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2693</Words>
  <Characters>2878</Characters>
  <Lines>0</Lines>
  <Paragraphs>0</Paragraphs>
  <TotalTime>1</TotalTime>
  <ScaleCrop>false</ScaleCrop>
  <LinksUpToDate>false</LinksUpToDate>
  <CharactersWithSpaces>2914</CharactersWithSpaces>
  <Application>WPS Office_11.1.0.12353_F1E327BC-269C-435d-A152-05C5408002CA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2021-04-09T01:54:00Z</dcterms:created>
  <dc:creator>唐海兰</dc:creator>
  <cp:lastModifiedBy>Administrator</cp:lastModifiedBy>
  <cp:lastPrinted>2021-04-15T03:14:00Z</cp:lastPrinted>
  <dcterms:modified xsi:type="dcterms:W3CDTF">2022-09-02T02:35:39Z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2052-11.1.0.12353</vt:lpwstr>
  </property>
  <property fmtid="{D5CDD505-2E9C-101B-9397-08002B2CF9AE}" pid="3" name="ICV">
    <vt:lpwstr>22DA4AD4B1F94D0DA902B95D20F93325</vt:lpwstr>
  </property>
</Properties>
</file>