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883" w:firstLineChars="200"/>
        <w:jc w:val="center"/>
        <w:rPr>
          <w:rFonts w:ascii="黑体" w:eastAsia="黑体"/>
          <w:b/>
          <w:bCs/>
          <w:sz w:val="44"/>
          <w:szCs w:val="44"/>
        </w:rPr>
      </w:pPr>
      <w:r>
        <w:rPr>
          <w:rFonts w:hint="eastAsia" w:ascii="黑体" w:eastAsia="黑体"/>
          <w:b/>
          <w:bCs/>
          <w:sz w:val="44"/>
          <w:szCs w:val="44"/>
        </w:rPr>
        <w:t>区纪委2021年度部门预算公开说明</w:t>
      </w:r>
    </w:p>
    <w:p>
      <w:pPr>
        <w:spacing w:line="580" w:lineRule="exact"/>
        <w:ind w:firstLine="883" w:firstLineChars="200"/>
        <w:jc w:val="center"/>
        <w:rPr>
          <w:rFonts w:ascii="黑体" w:eastAsia="黑体"/>
          <w:b/>
          <w:bCs/>
          <w:sz w:val="44"/>
          <w:szCs w:val="44"/>
        </w:rPr>
      </w:pPr>
    </w:p>
    <w:p>
      <w:pPr>
        <w:spacing w:line="580" w:lineRule="exact"/>
        <w:ind w:firstLine="643" w:firstLineChars="200"/>
        <w:rPr>
          <w:rFonts w:ascii="黑体" w:eastAsia="黑体"/>
          <w:b/>
          <w:bCs/>
          <w:sz w:val="32"/>
          <w:szCs w:val="32"/>
        </w:rPr>
      </w:pPr>
      <w:r>
        <w:rPr>
          <w:rFonts w:hint="eastAsia" w:ascii="黑体" w:eastAsia="黑体"/>
          <w:b/>
          <w:bCs/>
          <w:sz w:val="32"/>
          <w:szCs w:val="32"/>
        </w:rPr>
        <w:t>目  录</w:t>
      </w:r>
    </w:p>
    <w:p>
      <w:pPr>
        <w:spacing w:line="580" w:lineRule="exact"/>
        <w:ind w:firstLine="640" w:firstLineChars="200"/>
        <w:jc w:val="left"/>
        <w:rPr>
          <w:rFonts w:ascii="黑体" w:eastAsia="黑体"/>
          <w:sz w:val="32"/>
          <w:szCs w:val="32"/>
        </w:rPr>
      </w:pPr>
      <w:r>
        <w:rPr>
          <w:rFonts w:hint="eastAsia" w:ascii="黑体" w:eastAsia="黑体"/>
          <w:sz w:val="32"/>
          <w:szCs w:val="32"/>
        </w:rPr>
        <w:t>一、部门职责及机构设置情况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（一）部门职责</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（二）机构设置情况</w:t>
      </w:r>
    </w:p>
    <w:p>
      <w:pPr>
        <w:spacing w:line="580" w:lineRule="exact"/>
        <w:ind w:firstLine="640" w:firstLineChars="200"/>
        <w:jc w:val="left"/>
        <w:rPr>
          <w:rFonts w:ascii="黑体" w:eastAsia="黑体"/>
          <w:sz w:val="32"/>
          <w:szCs w:val="32"/>
        </w:rPr>
      </w:pPr>
      <w:r>
        <w:rPr>
          <w:rFonts w:hint="eastAsia" w:ascii="黑体" w:eastAsia="黑体"/>
          <w:sz w:val="32"/>
          <w:szCs w:val="32"/>
        </w:rPr>
        <w:t>二、部门预算安排情况说明</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（一）部门预算基本情况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 xml:space="preserve"> 1．年度收支预算情况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（1）收入预算</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（2）支出预算</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 xml:space="preserve"> 2．年度一般公共预算财政拨款支出情况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（1）基本支出</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（2）项目支出</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（二）年度“三公”经费预算情况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（三）年度机关运行经费预算情况</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（四）年度政府采购预算情况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（五）国有资产占用情况</w:t>
      </w:r>
    </w:p>
    <w:p>
      <w:pPr>
        <w:numPr>
          <w:ilvl w:val="0"/>
          <w:numId w:val="1"/>
        </w:numPr>
        <w:spacing w:line="580" w:lineRule="exact"/>
        <w:ind w:firstLine="640" w:firstLineChars="200"/>
        <w:rPr>
          <w:rFonts w:ascii="仿宋_GB2312" w:eastAsia="仿宋_GB2312"/>
          <w:sz w:val="32"/>
          <w:szCs w:val="32"/>
        </w:rPr>
      </w:pPr>
      <w:r>
        <w:rPr>
          <w:rFonts w:hint="eastAsia" w:ascii="仿宋_GB2312" w:eastAsia="仿宋_GB2312"/>
          <w:sz w:val="32"/>
          <w:szCs w:val="32"/>
        </w:rPr>
        <w:t>预算绩效管理情况</w:t>
      </w:r>
    </w:p>
    <w:p>
      <w:pPr>
        <w:spacing w:line="580" w:lineRule="exact"/>
        <w:ind w:firstLine="640" w:firstLineChars="200"/>
        <w:jc w:val="left"/>
        <w:rPr>
          <w:rFonts w:ascii="黑体" w:eastAsia="黑体"/>
          <w:sz w:val="32"/>
          <w:szCs w:val="32"/>
        </w:rPr>
      </w:pPr>
      <w:r>
        <w:rPr>
          <w:rFonts w:hint="eastAsia" w:ascii="黑体" w:eastAsia="黑体"/>
          <w:sz w:val="32"/>
          <w:szCs w:val="32"/>
        </w:rPr>
        <w:t>三、专业名词解释</w:t>
      </w:r>
    </w:p>
    <w:p>
      <w:pPr>
        <w:spacing w:line="580" w:lineRule="exact"/>
        <w:jc w:val="left"/>
        <w:rPr>
          <w:rFonts w:ascii="宋体" w:hAnsi="宋体"/>
          <w:b/>
          <w:sz w:val="44"/>
          <w:szCs w:val="44"/>
        </w:rPr>
      </w:pPr>
      <w:r>
        <w:rPr>
          <w:rFonts w:hint="eastAsia" w:ascii="宋体" w:hAnsi="宋体"/>
          <w:b/>
          <w:sz w:val="44"/>
          <w:szCs w:val="44"/>
        </w:rPr>
        <w:t xml:space="preserve">  </w:t>
      </w:r>
      <w:r>
        <w:rPr>
          <w:rFonts w:hint="eastAsia" w:ascii="黑体" w:eastAsia="黑体"/>
          <w:sz w:val="32"/>
          <w:szCs w:val="32"/>
        </w:rPr>
        <w:t xml:space="preserve"> </w:t>
      </w:r>
    </w:p>
    <w:p>
      <w:pPr>
        <w:spacing w:line="580" w:lineRule="exact"/>
        <w:ind w:firstLine="883" w:firstLineChars="200"/>
        <w:rPr>
          <w:rFonts w:ascii="宋体" w:hAnsi="宋体"/>
          <w:b/>
          <w:sz w:val="44"/>
          <w:szCs w:val="44"/>
        </w:rPr>
      </w:pPr>
    </w:p>
    <w:p>
      <w:pPr>
        <w:spacing w:line="580" w:lineRule="exact"/>
        <w:ind w:firstLine="640" w:firstLineChars="200"/>
        <w:rPr>
          <w:rFonts w:ascii="黑体" w:eastAsia="黑体"/>
          <w:sz w:val="32"/>
          <w:szCs w:val="32"/>
        </w:rPr>
      </w:pPr>
    </w:p>
    <w:p>
      <w:pPr>
        <w:spacing w:line="580" w:lineRule="exact"/>
        <w:ind w:firstLine="640" w:firstLineChars="200"/>
        <w:rPr>
          <w:rFonts w:ascii="黑体" w:eastAsia="黑体"/>
          <w:sz w:val="32"/>
          <w:szCs w:val="32"/>
        </w:rPr>
      </w:pPr>
    </w:p>
    <w:p>
      <w:pPr>
        <w:spacing w:line="580" w:lineRule="exact"/>
        <w:ind w:firstLine="640" w:firstLineChars="200"/>
        <w:rPr>
          <w:rFonts w:ascii="黑体" w:eastAsia="黑体"/>
          <w:sz w:val="32"/>
          <w:szCs w:val="32"/>
        </w:rPr>
      </w:pPr>
      <w:r>
        <w:rPr>
          <w:rFonts w:hint="eastAsia" w:ascii="黑体" w:eastAsia="黑体"/>
          <w:sz w:val="32"/>
          <w:szCs w:val="32"/>
        </w:rPr>
        <w:t>一、部门职责及机构设置情况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（一）部门职责</w:t>
      </w:r>
    </w:p>
    <w:p>
      <w:pPr>
        <w:spacing w:line="580" w:lineRule="exact"/>
        <w:ind w:firstLine="640" w:firstLineChars="200"/>
        <w:rPr>
          <w:rFonts w:ascii="仿宋_GB2312" w:eastAsia="仿宋_GB2312"/>
          <w:sz w:val="32"/>
          <w:szCs w:val="32"/>
        </w:rPr>
      </w:pPr>
      <w:r>
        <w:rPr>
          <w:rFonts w:hint="eastAsia" w:ascii="仿宋" w:hAnsi="仿宋" w:eastAsia="仿宋" w:cs="仿宋"/>
          <w:color w:val="000000"/>
          <w:sz w:val="32"/>
          <w:szCs w:val="32"/>
          <w:shd w:val="clear" w:color="auto" w:fill="FFFFFF"/>
        </w:rPr>
        <w:t>对所有行使公权力的公职人员进行监察，调查职务违法和职务犯罪，开展廉政建设和反腐败工作，维护宪法和法律的尊严。</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（二）机构设置情况</w:t>
      </w:r>
    </w:p>
    <w:p>
      <w:pPr>
        <w:spacing w:line="580" w:lineRule="exact"/>
        <w:ind w:firstLine="640" w:firstLineChars="200"/>
        <w:rPr>
          <w:rFonts w:ascii="仿宋" w:hAnsi="仿宋" w:eastAsia="仿宋"/>
          <w:sz w:val="32"/>
          <w:szCs w:val="32"/>
        </w:rPr>
      </w:pPr>
      <w:r>
        <w:rPr>
          <w:rFonts w:hint="eastAsia" w:ascii="仿宋_GB2312" w:eastAsia="仿宋_GB2312"/>
          <w:sz w:val="32"/>
          <w:szCs w:val="32"/>
        </w:rPr>
        <w:t>区纪委作为一级部门预算单位，内设14个科室室，分别为</w:t>
      </w:r>
      <w:r>
        <w:rPr>
          <w:rFonts w:hint="eastAsia" w:ascii="仿宋" w:hAnsi="仿宋" w:eastAsia="仿宋"/>
          <w:sz w:val="32"/>
          <w:szCs w:val="32"/>
        </w:rPr>
        <w:t>：办公室、第一纪检监察室、第二纪检监察室、第三纪检监察室、第四纪检监察室、第五纪检监察室、案件审理室、信访室、党风政风监督室、组织部、宣传部、案管室、信息技术保险室、信息中心。9个派驻机构：驻区委办纪检组、驻政府办纪检组、驻农业局纪检室、驻财政局纪检组、驻城管局纪检组、驻政法委纪检组、驻教育局纪检组、驻发改局纪检组、驻卫计局纪检组。2个巡察组：巡察办、巡察组。</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单位编制人员情况:现有编制数100人（其中机关：行政编制43人、事业编制9人、工勤编制3人。派驻36，巡察9人），全局实有人员99人（其中：全额拨款人员99人），在职人员99人，离退休人员13人。</w:t>
      </w:r>
    </w:p>
    <w:p>
      <w:pPr>
        <w:spacing w:line="580" w:lineRule="exact"/>
        <w:ind w:firstLine="640" w:firstLineChars="200"/>
        <w:rPr>
          <w:rFonts w:ascii="黑体" w:eastAsia="黑体"/>
          <w:sz w:val="32"/>
          <w:szCs w:val="32"/>
        </w:rPr>
      </w:pPr>
      <w:r>
        <w:rPr>
          <w:rFonts w:hint="eastAsia" w:ascii="黑体" w:eastAsia="黑体"/>
          <w:sz w:val="32"/>
          <w:szCs w:val="32"/>
        </w:rPr>
        <w:t>二、部门预算安排情况说明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（一）介绍部门预算基本情况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 1．年度收支预算情况。</w:t>
      </w:r>
    </w:p>
    <w:p>
      <w:pPr>
        <w:spacing w:line="580" w:lineRule="exact"/>
        <w:rPr>
          <w:rFonts w:ascii="仿宋_GB2312" w:eastAsia="仿宋_GB2312"/>
          <w:sz w:val="32"/>
          <w:szCs w:val="32"/>
        </w:rPr>
      </w:pPr>
      <w:r>
        <w:rPr>
          <w:rFonts w:hint="eastAsia" w:ascii="仿宋_GB2312" w:eastAsia="仿宋_GB2312"/>
          <w:sz w:val="32"/>
          <w:szCs w:val="32"/>
        </w:rPr>
        <w:t xml:space="preserve">    2021年部门预算包括局本级和所属二级单位预算在内的汇总情况。</w:t>
      </w:r>
    </w:p>
    <w:p>
      <w:pPr>
        <w:spacing w:line="580" w:lineRule="exact"/>
        <w:ind w:firstLine="640"/>
        <w:rPr>
          <w:rFonts w:ascii="仿宋_GB2312" w:eastAsia="仿宋_GB2312"/>
          <w:sz w:val="32"/>
          <w:szCs w:val="32"/>
        </w:rPr>
      </w:pPr>
      <w:r>
        <w:rPr>
          <w:rFonts w:hint="eastAsia" w:ascii="仿宋_GB2312" w:eastAsia="仿宋_GB2312"/>
          <w:sz w:val="32"/>
          <w:szCs w:val="32"/>
        </w:rPr>
        <w:t>①收入预算，2021年年初预算数2828.81万元，其中，一般公共预算拨款2828.81万元，政府性基金预算拨款0万元，纳入财政专户管理的非税收入拨款</w:t>
      </w:r>
      <w:r>
        <w:rPr>
          <w:rFonts w:hint="eastAsia" w:ascii="仿宋_GB2312" w:eastAsia="仿宋_GB2312"/>
          <w:sz w:val="32"/>
          <w:szCs w:val="32"/>
          <w:lang w:val="en-US" w:eastAsia="zh-CN"/>
        </w:rPr>
        <w:t>0</w:t>
      </w:r>
      <w:r>
        <w:rPr>
          <w:rFonts w:hint="eastAsia" w:ascii="仿宋_GB2312" w:eastAsia="仿宋_GB2312"/>
          <w:sz w:val="32"/>
          <w:szCs w:val="32"/>
        </w:rPr>
        <w:t>万元，国有资本经营预算拨款0万元，事业收入拨款0万元。收入较去年2157.58增加671.23万元，主要原因是：中央反腐败力度的加大，留置案件的增多，办案费用也相应增加。</w:t>
      </w:r>
    </w:p>
    <w:p>
      <w:pPr>
        <w:spacing w:line="580" w:lineRule="exact"/>
        <w:ind w:firstLine="640"/>
        <w:rPr>
          <w:rFonts w:ascii="仿宋_GB2312" w:eastAsia="仿宋_GB2312"/>
          <w:sz w:val="32"/>
          <w:szCs w:val="32"/>
        </w:rPr>
      </w:pPr>
      <w:r>
        <w:rPr>
          <w:rFonts w:hint="eastAsia" w:ascii="仿宋_GB2312" w:eastAsia="仿宋_GB2312"/>
          <w:sz w:val="32"/>
          <w:szCs w:val="32"/>
        </w:rPr>
        <w:t>②支出预算，2021年年初预算数2828.81万元，其中，人员支出1277.66万元（工资福利支出1253.07万元，对个人和家庭的补助24.59万元）；公用支出1345.95万元；项目支出205.2万元（专项业务费用类184.25万元，专项个人家庭补助类20.95万元）。支出较去年增加671.23万元，主要原因是：主要原因是：中央反腐败力度的加大，留置案件的增多，办案费用也相应增加。</w:t>
      </w:r>
    </w:p>
    <w:p>
      <w:pPr>
        <w:spacing w:line="580" w:lineRule="exact"/>
        <w:rPr>
          <w:rFonts w:ascii="仿宋_GB2312" w:eastAsia="仿宋_GB2312"/>
          <w:sz w:val="32"/>
          <w:szCs w:val="32"/>
        </w:rPr>
      </w:pPr>
      <w:r>
        <w:rPr>
          <w:rFonts w:hint="eastAsia" w:ascii="仿宋_GB2312" w:eastAsia="仿宋_GB2312"/>
          <w:sz w:val="32"/>
          <w:szCs w:val="32"/>
        </w:rPr>
        <w:t xml:space="preserve">    2．年度一般公共预算财政拨款支出情况</w:t>
      </w:r>
    </w:p>
    <w:p>
      <w:pPr>
        <w:spacing w:line="580" w:lineRule="exact"/>
        <w:rPr>
          <w:rFonts w:ascii="仿宋_GB2312" w:eastAsia="仿宋_GB2312"/>
          <w:sz w:val="32"/>
          <w:szCs w:val="32"/>
        </w:rPr>
      </w:pPr>
      <w:r>
        <w:rPr>
          <w:rFonts w:hint="eastAsia" w:ascii="仿宋_GB2312" w:eastAsia="仿宋_GB2312"/>
          <w:sz w:val="32"/>
          <w:szCs w:val="32"/>
        </w:rPr>
        <w:t xml:space="preserve">    ①基本支出：2021年年初预算数为2623.61万元，是指为保障单位机构正常运转、完成日常工作任务而发生的各项支出，包括用于基本工资、津贴补贴等人员经费以及办公费、印刷费、水电费、物业管理费等日常公用经费；</w:t>
      </w:r>
    </w:p>
    <w:p>
      <w:pPr>
        <w:spacing w:line="580" w:lineRule="exact"/>
        <w:ind w:firstLine="640"/>
        <w:rPr>
          <w:rFonts w:ascii="仿宋_GB2312" w:eastAsia="仿宋_GB2312"/>
          <w:sz w:val="32"/>
          <w:szCs w:val="32"/>
        </w:rPr>
      </w:pPr>
      <w:r>
        <w:rPr>
          <w:rFonts w:hint="eastAsia" w:ascii="仿宋_GB2312" w:eastAsia="仿宋_GB2312"/>
          <w:sz w:val="32"/>
          <w:szCs w:val="32"/>
        </w:rPr>
        <w:t>②项目支出：2021年年初预算数为205.2万元，是指单位为完成特定行政工作任务或事业发展目标而发生的支出，包括有产业发展引导类0万元、专项业务费用类184.25万元、基本建设类0万元、对个人和家庭补助类20.95万元。</w:t>
      </w:r>
    </w:p>
    <w:p>
      <w:pPr>
        <w:numPr>
          <w:ilvl w:val="0"/>
          <w:numId w:val="2"/>
        </w:numPr>
        <w:spacing w:line="580" w:lineRule="exact"/>
        <w:ind w:firstLine="640"/>
        <w:rPr>
          <w:rFonts w:ascii="仿宋_GB2312" w:eastAsia="仿宋_GB2312"/>
          <w:sz w:val="32"/>
          <w:szCs w:val="32"/>
        </w:rPr>
      </w:pPr>
      <w:r>
        <w:rPr>
          <w:rFonts w:hint="eastAsia" w:ascii="仿宋_GB2312" w:eastAsia="仿宋_GB2312"/>
          <w:sz w:val="32"/>
          <w:szCs w:val="32"/>
        </w:rPr>
        <w:t>政府性基金支出</w:t>
      </w:r>
    </w:p>
    <w:p>
      <w:pPr>
        <w:spacing w:line="580" w:lineRule="exact"/>
        <w:ind w:firstLine="640"/>
        <w:rPr>
          <w:rFonts w:ascii="仿宋_GB2312" w:eastAsia="仿宋_GB2312"/>
          <w:sz w:val="32"/>
          <w:szCs w:val="32"/>
        </w:rPr>
      </w:pPr>
      <w:r>
        <w:rPr>
          <w:rFonts w:hint="eastAsia" w:ascii="仿宋_GB2312" w:eastAsia="仿宋_GB2312"/>
          <w:sz w:val="32"/>
          <w:szCs w:val="32"/>
        </w:rPr>
        <w:t>2021年无政府性基金支出。</w:t>
      </w:r>
    </w:p>
    <w:p>
      <w:pPr>
        <w:spacing w:line="580" w:lineRule="exact"/>
        <w:ind w:firstLine="640"/>
        <w:rPr>
          <w:rFonts w:ascii="仿宋_GB2312" w:eastAsia="仿宋_GB2312"/>
          <w:sz w:val="32"/>
          <w:szCs w:val="32"/>
        </w:rPr>
      </w:pPr>
      <w:r>
        <w:rPr>
          <w:rFonts w:hint="eastAsia" w:ascii="仿宋_GB2312" w:eastAsia="仿宋_GB2312"/>
          <w:sz w:val="32"/>
          <w:szCs w:val="32"/>
        </w:rPr>
        <w:t>(二）年度“三公”经费预算情况</w:t>
      </w:r>
    </w:p>
    <w:p>
      <w:pPr>
        <w:spacing w:line="58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2021年“三公”经费预算数为</w:t>
      </w:r>
      <w:r>
        <w:rPr>
          <w:rFonts w:hint="eastAsia" w:ascii="仿宋_GB2312" w:eastAsia="仿宋_GB2312"/>
          <w:color w:val="FF0000"/>
          <w:sz w:val="32"/>
          <w:szCs w:val="32"/>
          <w:lang w:val="en-US" w:eastAsia="zh-CN"/>
        </w:rPr>
        <w:t>12.6</w:t>
      </w:r>
      <w:r>
        <w:rPr>
          <w:rFonts w:hint="eastAsia" w:ascii="仿宋_GB2312" w:eastAsia="仿宋_GB2312"/>
          <w:color w:val="FF0000"/>
          <w:sz w:val="32"/>
          <w:szCs w:val="32"/>
        </w:rPr>
        <w:t>万元，其中，公务接待费</w:t>
      </w:r>
      <w:r>
        <w:rPr>
          <w:rFonts w:hint="eastAsia" w:ascii="仿宋_GB2312" w:eastAsia="仿宋_GB2312"/>
          <w:color w:val="FF0000"/>
          <w:sz w:val="32"/>
          <w:szCs w:val="32"/>
          <w:lang w:val="en-US" w:eastAsia="zh-CN"/>
        </w:rPr>
        <w:t>0</w:t>
      </w:r>
      <w:r>
        <w:rPr>
          <w:rFonts w:hint="eastAsia" w:ascii="仿宋_GB2312" w:eastAsia="仿宋_GB2312"/>
          <w:color w:val="FF0000"/>
          <w:sz w:val="32"/>
          <w:szCs w:val="32"/>
        </w:rPr>
        <w:t>万元，公务用车购置及运行费</w:t>
      </w:r>
      <w:r>
        <w:rPr>
          <w:rFonts w:hint="eastAsia" w:ascii="仿宋_GB2312" w:eastAsia="仿宋_GB2312"/>
          <w:color w:val="FF0000"/>
          <w:sz w:val="32"/>
          <w:szCs w:val="32"/>
          <w:lang w:val="en-US" w:eastAsia="zh-CN"/>
        </w:rPr>
        <w:t>12.6</w:t>
      </w:r>
      <w:r>
        <w:rPr>
          <w:rFonts w:hint="eastAsia" w:ascii="仿宋_GB2312" w:eastAsia="仿宋_GB2312"/>
          <w:color w:val="FF0000"/>
          <w:sz w:val="32"/>
          <w:szCs w:val="32"/>
        </w:rPr>
        <w:t>万元（其中：公务用车购置费是0万元，公务用车运行费</w:t>
      </w:r>
      <w:r>
        <w:rPr>
          <w:rFonts w:hint="eastAsia" w:ascii="仿宋_GB2312" w:eastAsia="仿宋_GB2312"/>
          <w:color w:val="FF0000"/>
          <w:sz w:val="32"/>
          <w:szCs w:val="32"/>
          <w:lang w:val="en-US" w:eastAsia="zh-CN"/>
        </w:rPr>
        <w:t>12.6</w:t>
      </w:r>
      <w:r>
        <w:rPr>
          <w:rFonts w:hint="eastAsia" w:ascii="仿宋_GB2312" w:eastAsia="仿宋_GB2312"/>
          <w:color w:val="FF0000"/>
          <w:sz w:val="32"/>
          <w:szCs w:val="32"/>
        </w:rPr>
        <w:t>万元），因公出国（境）费0万元。2021年“三公”经费预算较2020年预算数减少</w:t>
      </w:r>
      <w:r>
        <w:rPr>
          <w:rFonts w:hint="eastAsia" w:ascii="仿宋_GB2312" w:eastAsia="仿宋_GB2312"/>
          <w:color w:val="FF0000"/>
          <w:sz w:val="32"/>
          <w:szCs w:val="32"/>
          <w:lang w:val="en-US" w:eastAsia="zh-CN"/>
        </w:rPr>
        <w:t>10.33</w:t>
      </w:r>
      <w:r>
        <w:rPr>
          <w:rFonts w:hint="eastAsia" w:ascii="仿宋_GB2312" w:eastAsia="仿宋_GB2312"/>
          <w:color w:val="FF0000"/>
          <w:sz w:val="32"/>
          <w:szCs w:val="32"/>
        </w:rPr>
        <w:t>万元，下降</w:t>
      </w:r>
      <w:r>
        <w:rPr>
          <w:rFonts w:hint="eastAsia" w:ascii="仿宋_GB2312" w:eastAsia="仿宋_GB2312"/>
          <w:color w:val="FF0000"/>
          <w:sz w:val="32"/>
          <w:szCs w:val="32"/>
          <w:lang w:val="en-US" w:eastAsia="zh-CN"/>
        </w:rPr>
        <w:t>45</w:t>
      </w:r>
      <w:bookmarkStart w:id="0" w:name="_GoBack"/>
      <w:bookmarkEnd w:id="0"/>
      <w:r>
        <w:rPr>
          <w:rFonts w:hint="eastAsia" w:ascii="仿宋_GB2312" w:eastAsia="仿宋_GB2312"/>
          <w:color w:val="FF0000"/>
          <w:sz w:val="32"/>
          <w:szCs w:val="32"/>
        </w:rPr>
        <w:t>%，主要原因是：贯彻落实中央、省、委关于牢固树立过紧日子思想大力压减一般性支出的十条措施的通知精神。</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（三）年度机关运行经费预算情况</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2021年区纪委机关运行经费一般公共预算拨款1345.95万元（其中：办公费620万元、印刷费20万元，邮电费20万元，差旅费30万元，维修（护）费5万元，劳务费609万元，工会经费7.92万元，福利费18.81万元，公务用车运行费12.6万元，其他交通费用1.2万元，其他商品和服务支出1万元）。</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（四）年度政府采购支出预算情况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2021年区纪委政府采购预算总额100万元，其中，政府采购货物预算100万元，政府采购工程预算0万元、政府采购服务预算0万元。</w:t>
      </w:r>
    </w:p>
    <w:p>
      <w:pPr>
        <w:numPr>
          <w:ilvl w:val="0"/>
          <w:numId w:val="3"/>
        </w:num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国有资产占用情况</w:t>
      </w:r>
    </w:p>
    <w:p>
      <w:pPr>
        <w:spacing w:line="580" w:lineRule="exact"/>
        <w:rPr>
          <w:rFonts w:ascii="仿宋_GB2312" w:eastAsia="仿宋_GB2312"/>
          <w:sz w:val="32"/>
          <w:szCs w:val="32"/>
        </w:rPr>
      </w:pPr>
      <w:r>
        <w:rPr>
          <w:rFonts w:hint="eastAsia" w:ascii="仿宋_GB2312" w:eastAsia="仿宋_GB2312"/>
          <w:sz w:val="32"/>
          <w:szCs w:val="32"/>
        </w:rPr>
        <w:t xml:space="preserve">     1、截至2020年12月31日，本部门共有车辆4辆，其中，一般公务用车4辆、一般执法执勤用车0辆、特种专业技术用车0辆、其他用车0辆。单位价值50万元以上通用设备0台（套），单价100万元以上专用设备0台（套）。</w:t>
      </w:r>
    </w:p>
    <w:p>
      <w:pPr>
        <w:spacing w:line="580" w:lineRule="exact"/>
        <w:rPr>
          <w:rFonts w:ascii="仿宋_GB2312" w:eastAsia="仿宋_GB2312"/>
          <w:sz w:val="32"/>
          <w:szCs w:val="32"/>
        </w:rPr>
      </w:pPr>
      <w:r>
        <w:rPr>
          <w:rFonts w:hint="eastAsia" w:ascii="仿宋_GB2312" w:eastAsia="仿宋_GB2312"/>
          <w:sz w:val="32"/>
          <w:szCs w:val="32"/>
        </w:rPr>
        <w:t xml:space="preserve">    2、2021年，本部门拟新增资产具体为：公用车辆0辆，价值0万元；单价50万元以上通用设备0台（套）；单位100万元以上的专用设备0台（套）。</w:t>
      </w:r>
    </w:p>
    <w:p>
      <w:pPr>
        <w:spacing w:line="580" w:lineRule="exact"/>
        <w:ind w:firstLine="320" w:firstLineChars="100"/>
        <w:rPr>
          <w:rFonts w:ascii="仿宋_GB2312" w:eastAsia="仿宋_GB2312"/>
          <w:sz w:val="32"/>
          <w:szCs w:val="32"/>
        </w:rPr>
      </w:pPr>
      <w:r>
        <w:rPr>
          <w:rFonts w:hint="eastAsia" w:ascii="仿宋_GB2312" w:eastAsia="仿宋_GB2312"/>
          <w:sz w:val="32"/>
          <w:szCs w:val="32"/>
        </w:rPr>
        <w:t>（六）预算绩效管理情况</w:t>
      </w:r>
    </w:p>
    <w:p>
      <w:pPr>
        <w:widowControl/>
        <w:spacing w:line="580" w:lineRule="exact"/>
        <w:ind w:firstLine="640" w:firstLineChars="200"/>
        <w:jc w:val="left"/>
        <w:rPr>
          <w:rFonts w:ascii="仿宋_GB2312" w:eastAsia="仿宋_GB2312"/>
          <w:sz w:val="32"/>
          <w:szCs w:val="32"/>
        </w:rPr>
      </w:pPr>
      <w:r>
        <w:rPr>
          <w:rFonts w:hint="eastAsia" w:eastAsia="仿宋_GB2312"/>
          <w:sz w:val="32"/>
          <w:szCs w:val="32"/>
        </w:rPr>
        <w:t>按照我区预算绩效管理工作的总体要求，2021年我单位整体支出2828.81万元，全部实行整体支出绩效目标管理，编报绩效目标的项目7个，涉及项目支出205.2万元，其中专项业务费用类项目4个，共184.25万元，基本建设类项目0个，共0万元，对个人和家庭补助类项目3个，共20.95万元，产业发展引导类项目0个，共0万元，全部实行项目支出绩效目标管理。</w:t>
      </w:r>
    </w:p>
    <w:p>
      <w:pPr>
        <w:spacing w:line="580" w:lineRule="exact"/>
        <w:ind w:firstLine="640" w:firstLineChars="200"/>
        <w:rPr>
          <w:rFonts w:ascii="黑体" w:eastAsia="黑体"/>
          <w:sz w:val="32"/>
          <w:szCs w:val="32"/>
        </w:rPr>
      </w:pPr>
      <w:r>
        <w:rPr>
          <w:rFonts w:hint="eastAsia" w:ascii="黑体" w:eastAsia="黑体"/>
          <w:sz w:val="32"/>
          <w:szCs w:val="32"/>
        </w:rPr>
        <w:t>三、专业名词解释</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adjustRightInd w:val="0"/>
        <w:spacing w:line="580" w:lineRule="exact"/>
        <w:ind w:firstLine="640" w:firstLineChars="200"/>
        <w:rPr>
          <w:rFonts w:ascii="仿宋_GB2312" w:eastAsia="仿宋_GB2312"/>
          <w:sz w:val="32"/>
          <w:szCs w:val="32"/>
        </w:rPr>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费、国外城市间交通费、食宿费等支出。</w:t>
      </w:r>
    </w:p>
    <w:p>
      <w:pPr>
        <w:spacing w:line="580" w:lineRule="exact"/>
      </w:pPr>
    </w:p>
    <w:sectPr>
      <w:footerReference r:id="rId3" w:type="default"/>
      <w:pgSz w:w="11906" w:h="16838"/>
      <w:pgMar w:top="1440" w:right="1780" w:bottom="1440"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92BC8"/>
    <w:multiLevelType w:val="singleLevel"/>
    <w:tmpl w:val="CAF92BC8"/>
    <w:lvl w:ilvl="0" w:tentative="0">
      <w:start w:val="5"/>
      <w:numFmt w:val="chineseCounting"/>
      <w:suff w:val="nothing"/>
      <w:lvlText w:val="（%1）"/>
      <w:lvlJc w:val="left"/>
      <w:rPr>
        <w:rFonts w:hint="eastAsia"/>
      </w:rPr>
    </w:lvl>
  </w:abstractNum>
  <w:abstractNum w:abstractNumId="1">
    <w:nsid w:val="0068E993"/>
    <w:multiLevelType w:val="singleLevel"/>
    <w:tmpl w:val="0068E993"/>
    <w:lvl w:ilvl="0" w:tentative="0">
      <w:start w:val="6"/>
      <w:numFmt w:val="chineseCounting"/>
      <w:suff w:val="nothing"/>
      <w:lvlText w:val="（%1）"/>
      <w:lvlJc w:val="left"/>
      <w:rPr>
        <w:rFonts w:hint="eastAsia"/>
      </w:rPr>
    </w:lvl>
  </w:abstractNum>
  <w:abstractNum w:abstractNumId="2">
    <w:nsid w:val="381B9E31"/>
    <w:multiLevelType w:val="singleLevel"/>
    <w:tmpl w:val="381B9E31"/>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c4MWJiOGZjNDRmYzQ0ZDBhODhkZmE0ZGNjNjk0NzgifQ=="/>
  </w:docVars>
  <w:rsids>
    <w:rsidRoot w:val="1BBE1EE5"/>
    <w:rsid w:val="000E0D20"/>
    <w:rsid w:val="00236C30"/>
    <w:rsid w:val="009C7915"/>
    <w:rsid w:val="00C91FBE"/>
    <w:rsid w:val="02A10C63"/>
    <w:rsid w:val="0C6F4717"/>
    <w:rsid w:val="1AC45417"/>
    <w:rsid w:val="1B120D1E"/>
    <w:rsid w:val="1BBE1EE5"/>
    <w:rsid w:val="1D2126AD"/>
    <w:rsid w:val="2994287F"/>
    <w:rsid w:val="2C151A0E"/>
    <w:rsid w:val="2D8F7A49"/>
    <w:rsid w:val="35A96546"/>
    <w:rsid w:val="3EAD42DF"/>
    <w:rsid w:val="48B313D2"/>
    <w:rsid w:val="48ED5550"/>
    <w:rsid w:val="4B9C02AF"/>
    <w:rsid w:val="53574F96"/>
    <w:rsid w:val="724D4441"/>
    <w:rsid w:val="774008E0"/>
    <w:rsid w:val="792A29FB"/>
    <w:rsid w:val="7BB045AB"/>
    <w:rsid w:val="7D182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2177</Words>
  <Characters>2394</Characters>
  <Lines>17</Lines>
  <Paragraphs>4</Paragraphs>
  <TotalTime>3</TotalTime>
  <ScaleCrop>false</ScaleCrop>
  <LinksUpToDate>false</LinksUpToDate>
  <CharactersWithSpaces>2424</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2021-04-09T01:54:00Z</dcterms:created>
  <dc:creator>唐海兰</dc:creator>
  <cp:lastModifiedBy>WPS_276170674</cp:lastModifiedBy>
  <cp:lastPrinted>2021-04-15T03:14:00Z</cp:lastPrinted>
  <dcterms:modified xsi:type="dcterms:W3CDTF">2022-06-14T04:03:09Z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22DA4AD4B1F94D0DA902B95D20F93325</vt:lpwstr>
  </property>
</Properties>
</file>