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3" w:firstLineChars="20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鹤城区住房和城乡建设局2021年度</w:t>
      </w:r>
    </w:p>
    <w:p>
      <w:pPr>
        <w:spacing w:line="560" w:lineRule="exact"/>
        <w:ind w:firstLine="2429" w:firstLineChars="55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部门预算公开说明</w:t>
      </w:r>
    </w:p>
    <w:p>
      <w:pPr>
        <w:spacing w:line="560" w:lineRule="exact"/>
        <w:jc w:val="center"/>
        <w:rPr>
          <w:rFonts w:ascii="楷体_GB2312" w:hAnsi="宋体" w:eastAsia="楷体_GB2312"/>
          <w:b/>
          <w:sz w:val="32"/>
          <w:szCs w:val="32"/>
        </w:rPr>
      </w:pPr>
    </w:p>
    <w:p>
      <w:pPr>
        <w:widowControl/>
        <w:spacing w:line="560" w:lineRule="exact"/>
        <w:ind w:firstLine="627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目  录：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一、部门职责及机构设置情况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（一）部门职责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（二）机构设置情况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二、部门预算安排情况说明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（一）部门预算基本情况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1．年度收支预算情况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（1）收入预算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（2）支出预算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2．年度一般公共预算财政拨款支出情况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（1）基本支出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（2）项目支出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3.政府性基金支出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（二）年度“三公”经费预算情况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（三）年度机关运行经费预算情况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（四）年度政府采购预算情况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（五）国有资产占用情况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（六）预算绩效管理情况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三、专业名词解释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48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spacing w:line="48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一、部门职责及机构设置情况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（一）部门职责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负责本级建设部门的法制建设和普法，依法治理工作；负责全区城市棚户区、工矿棚户区及公租房建设的组织、协调、指导工作，承担区保障性住房建设工作办公室的日常工作；组织保障性安居工程建设的投资经营和资产管理；负责组织实施辖区内国有土地上房屋的征收和补偿工作；组织农村危房改造工作并协调督促落实，负责对本级权限内建设工程项目的招标投标活动具体实施监督管理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（二）机构设置情况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区住建局单位2021年部门决算汇总公开单位构成包括：区住建局单位本级，区住建局单位内设机构包括：</w:t>
      </w:r>
      <w:r>
        <w:rPr>
          <w:rFonts w:hint="eastAsia" w:ascii="仿宋" w:hAnsi="仿宋" w:eastAsia="仿宋"/>
          <w:sz w:val="32"/>
          <w:szCs w:val="32"/>
        </w:rPr>
        <w:t>区住建局作为一级部门预算单位，内设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个股室，分别为为：办公室（加挂人事教育股、计划财务股牌子）、政策法规股（加挂行政审批股牌子）、房地产监督与住房保障股、建筑工程管理股（加挂招标投标监督管理股牌子、燃气管理股牌子）、城乡建设股（加挂科技设计股牌子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二、部门预算安排情况说明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（一）介绍部门预算基本情况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1．年度收支预算情况。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2021年部门预算包括局本级和所属二级单位预算在内的汇总情况。</w:t>
      </w:r>
    </w:p>
    <w:p>
      <w:pPr>
        <w:numPr>
          <w:numId w:val="0"/>
        </w:num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①</w:t>
      </w:r>
      <w:r>
        <w:rPr>
          <w:rFonts w:hint="eastAsia" w:ascii="仿宋" w:hAnsi="仿宋" w:eastAsia="仿宋"/>
          <w:sz w:val="32"/>
          <w:szCs w:val="32"/>
        </w:rPr>
        <w:t>收入预算，2021年年初预算数31117.06万元，其中，一般公共预算拨款31117.06万元，政府性基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金预算拨款0万元，纳入财政专户管理的非税收入拨款0万元，国有资本经营预算拨款0万元，事业收入拨款0万元。收入较去年增加26449.52万元，主要原因是增加项目拨款收入。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</w:t>
      </w:r>
      <w:r>
        <w:rPr>
          <w:rFonts w:hint="eastAsia" w:ascii="仿宋" w:hAnsi="仿宋" w:eastAsia="仿宋"/>
          <w:sz w:val="32"/>
          <w:szCs w:val="32"/>
        </w:rPr>
        <w:t>支出预算，2021年年初预算数31117.06万元，其中人员支出621.75万元；公用支出172.31万元；项目支出30323万元，支出较去年增加26449.52万元，主要原因是增加项目支出。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2．年度一般公共预算财政拨款支出情况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①基本支出：2021年年初预算数为794.06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spacing w:line="56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②项目支出：2021年年初预算数为30323万元，是指单位为完成特定行政工作任务或事业发展目标而发生的支出，包括有产业发展引导类0万元、专项业务费用类823万元、基本建设类29500万元、对个人和家庭补助类0万元。</w:t>
      </w:r>
    </w:p>
    <w:p>
      <w:pPr>
        <w:spacing w:line="48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3.政府性基金支出</w:t>
      </w:r>
    </w:p>
    <w:p>
      <w:pPr>
        <w:widowControl/>
        <w:spacing w:line="50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2020年政府性基金支出为0万元，无政府性基金支出。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二）年度“三公”经费预算情况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“三公”经费预算数为9万元，其中，公务接待费3万元，公务用车购置及运行费6万元（其中：公务用车购置费是0万元，公务用车运行费6万元），因公出国（境）费0万元。2021年“三公”经费预算较2020年预算数减少8.28万元，减少48%，主要原因是公务接待减少5万元；公务用车费用减少3.28万元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（三）年度机关运行经费预算情况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区住建局机关运行经费一般公共预算拨款172.31万元（其中：办公费23万元、印刷费16万元，维护费4.5万元，公车运行维护费6万元，差旅费8万，会议费5万，培训费4.5万，公务接待费3万，工会经费10万，福利费9万，其他商品和服务支出82.29万，离退休人员公用经费1.02万，相比2019年预算数减少22.83万元，减少11.7%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备注：机关运行经费指本部门的运行经费，公开口径为一般公共预算基本支出中的商品和服务支出情况。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（四）年度政府采购支出预算情况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2021年区住建局单位政府采购预算总额283万元，其中，政府采购货物预算0万元，政府采购工程预算0万元、政府采购服务预算283万元。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（五）国有资产占用情况</w:t>
      </w:r>
    </w:p>
    <w:p>
      <w:pPr>
        <w:widowControl/>
        <w:spacing w:line="500" w:lineRule="auto"/>
        <w:ind w:firstLine="640" w:firstLineChars="200"/>
        <w:jc w:val="left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1.截至2019年12月31日，本部门无车辆，无50万元以上的专用设备。</w:t>
      </w:r>
    </w:p>
    <w:p>
      <w:pPr>
        <w:widowControl/>
        <w:spacing w:line="500" w:lineRule="auto"/>
        <w:ind w:firstLine="640" w:firstLineChars="200"/>
        <w:jc w:val="left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2.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截至2021年，本部门无新增车辆，无新增50万元以上的通用设备和专用设备。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预算绩效管理情况</w:t>
      </w:r>
    </w:p>
    <w:p>
      <w:pPr>
        <w:widowControl/>
        <w:spacing w:line="50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按照我区预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算绩效管理工作的总体要求，2021年我单位整体支出31117.06万元，全部实行整体支出绩效目标管理，编报绩效目标的项目13个，涉及项目支出30323万元，其中专项业务费用类项目8个，共823万元，基本建设类项目5个，共29500万元，对个人和家庭补助类项目0个，共0万元，产业发展引导类项目0个，共0万元，全部实行项目支出绩效目标管理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三、专业名词解释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adjustRightIn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位公务出国(境)费、国外城市间交通费、食宿费等支出。</w:t>
      </w:r>
    </w:p>
    <w:p>
      <w:pPr>
        <w:adjustRightIn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3.本部门（单位）的相关专业名词解释。</w:t>
      </w:r>
    </w:p>
    <w:p>
      <w:pPr>
        <w:rPr>
          <w:rFonts w:ascii="仿宋_GB2312" w:eastAsia="仿宋_GB2312"/>
          <w:sz w:val="32"/>
          <w:szCs w:val="32"/>
        </w:rPr>
      </w:pPr>
    </w:p>
    <w:p/>
    <w:sectPr>
      <w:headerReference r:id="rId3" w:type="default"/>
      <w:pgSz w:w="11906" w:h="16838"/>
      <w:pgMar w:top="1440" w:right="1780" w:bottom="1440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5" o:spid="_x0000_s1025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>附件3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8E993"/>
    <w:multiLevelType w:val="singleLevel"/>
    <w:tmpl w:val="0068E993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443A"/>
    <w:rsid w:val="000230F7"/>
    <w:rsid w:val="000A7E92"/>
    <w:rsid w:val="001D74FE"/>
    <w:rsid w:val="00232B6C"/>
    <w:rsid w:val="002F6F40"/>
    <w:rsid w:val="003D3F0A"/>
    <w:rsid w:val="004308AA"/>
    <w:rsid w:val="00457038"/>
    <w:rsid w:val="004849E9"/>
    <w:rsid w:val="004D74DB"/>
    <w:rsid w:val="00577E4E"/>
    <w:rsid w:val="007B18AD"/>
    <w:rsid w:val="008F0E91"/>
    <w:rsid w:val="00AE6F0A"/>
    <w:rsid w:val="00AF443A"/>
    <w:rsid w:val="00CF76E6"/>
    <w:rsid w:val="00E707A5"/>
    <w:rsid w:val="00ED74A0"/>
    <w:rsid w:val="00F524C6"/>
    <w:rsid w:val="00F5482D"/>
    <w:rsid w:val="2D75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5">
    <w:name w:val="页眉 Char"/>
    <w:basedOn w:val="4"/>
    <w:link w:val="2"/>
    <w:qFormat/>
    <w:uiPriority w:val="0"/>
    <w:rPr>
      <w:rFonts w:ascii="Times New Roman" w:hAnsi="Times New Roman" w:eastAsia="宋体"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C3C65A-7ACA-41EA-B792-EF9112AC3B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417</Words>
  <Characters>2377</Characters>
  <Lines>19</Lines>
  <Paragraphs>5</Paragraphs>
  <TotalTime>3</TotalTime>
  <ScaleCrop>false</ScaleCrop>
  <LinksUpToDate>false</LinksUpToDate>
  <CharactersWithSpaces>2789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2021-04-19T07:43:00Z</dcterms:created>
  <dc:creator>Administrator</dc:creator>
  <cp:lastModifiedBy>lmy</cp:lastModifiedBy>
  <cp:lastPrinted>2021-04-20T01:51:00Z</cp:lastPrinted>
  <dcterms:modified xsi:type="dcterms:W3CDTF">2021-04-23T07:40:29Z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30526B9A0A1B4E9781E7ED60379005F2</vt:lpwstr>
  </property>
</Properties>
</file>