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color w:val="auto"/>
          <w:sz w:val="56"/>
          <w:szCs w:val="56"/>
        </w:rPr>
      </w:pPr>
    </w:p>
    <w:p>
      <w:pPr>
        <w:pStyle w:val="9"/>
        <w:jc w:val="center"/>
        <w:rPr>
          <w:color w:val="auto"/>
          <w:sz w:val="56"/>
          <w:szCs w:val="56"/>
        </w:rPr>
      </w:pPr>
    </w:p>
    <w:p>
      <w:pPr>
        <w:pStyle w:val="9"/>
        <w:jc w:val="center"/>
        <w:rPr>
          <w:color w:val="auto"/>
          <w:sz w:val="84"/>
          <w:szCs w:val="84"/>
        </w:rPr>
      </w:pPr>
    </w:p>
    <w:p>
      <w:pPr>
        <w:pStyle w:val="9"/>
        <w:jc w:val="center"/>
        <w:rPr>
          <w:color w:val="auto"/>
          <w:sz w:val="84"/>
          <w:szCs w:val="84"/>
        </w:rPr>
      </w:pPr>
    </w:p>
    <w:p>
      <w:pPr>
        <w:pStyle w:val="9"/>
        <w:jc w:val="center"/>
        <w:rPr>
          <w:color w:val="auto"/>
          <w:sz w:val="84"/>
          <w:szCs w:val="84"/>
        </w:rPr>
      </w:pPr>
      <w:r>
        <w:rPr>
          <w:rFonts w:hint="eastAsia"/>
          <w:color w:val="auto"/>
          <w:sz w:val="84"/>
          <w:szCs w:val="84"/>
        </w:rPr>
        <w:t>2019年度</w:t>
      </w:r>
    </w:p>
    <w:p>
      <w:pPr>
        <w:pStyle w:val="9"/>
        <w:jc w:val="center"/>
        <w:rPr>
          <w:color w:val="auto"/>
          <w:sz w:val="84"/>
          <w:szCs w:val="84"/>
        </w:rPr>
      </w:pPr>
      <w:r>
        <w:rPr>
          <w:rFonts w:hint="eastAsia"/>
          <w:color w:val="auto"/>
          <w:sz w:val="84"/>
          <w:szCs w:val="84"/>
        </w:rPr>
        <w:t>怀化市鹤城区贺家田小学部门决算</w:t>
      </w: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jc w:val="center"/>
        <w:rPr>
          <w:color w:val="auto"/>
          <w:sz w:val="56"/>
          <w:szCs w:val="56"/>
        </w:rPr>
      </w:pPr>
    </w:p>
    <w:p>
      <w:pPr>
        <w:pStyle w:val="9"/>
        <w:spacing w:line="540" w:lineRule="exact"/>
        <w:jc w:val="center"/>
        <w:rPr>
          <w:color w:val="auto"/>
          <w:sz w:val="56"/>
          <w:szCs w:val="56"/>
        </w:rPr>
      </w:pPr>
    </w:p>
    <w:p>
      <w:pPr>
        <w:pStyle w:val="9"/>
        <w:spacing w:line="520" w:lineRule="exact"/>
        <w:jc w:val="center"/>
        <w:rPr>
          <w:color w:val="auto"/>
          <w:sz w:val="56"/>
          <w:szCs w:val="56"/>
        </w:rPr>
      </w:pPr>
      <w:r>
        <w:rPr>
          <w:rFonts w:hint="eastAsia"/>
          <w:color w:val="auto"/>
          <w:sz w:val="56"/>
          <w:szCs w:val="56"/>
        </w:rPr>
        <w:t>目录</w:t>
      </w:r>
    </w:p>
    <w:p>
      <w:pPr>
        <w:pStyle w:val="9"/>
        <w:spacing w:line="520" w:lineRule="exact"/>
        <w:rPr>
          <w:rFonts w:ascii="仿宋_GB2312" w:hAnsi="仿宋_GB2312" w:cs="仿宋_GB2312"/>
          <w:b/>
          <w:color w:val="auto"/>
          <w:sz w:val="28"/>
          <w:szCs w:val="28"/>
        </w:rPr>
      </w:pPr>
      <w:r>
        <w:rPr>
          <w:rFonts w:hint="eastAsia"/>
          <w:b/>
          <w:color w:val="auto"/>
          <w:sz w:val="28"/>
          <w:szCs w:val="28"/>
        </w:rPr>
        <w:t>第一部分怀化市第二中学概况</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2019</w:t>
      </w:r>
      <w:r>
        <w:rPr>
          <w:rFonts w:hint="eastAsia" w:hAnsi="仿宋_GB2312"/>
          <w:b/>
          <w:color w:val="auto"/>
          <w:sz w:val="28"/>
          <w:szCs w:val="28"/>
        </w:rPr>
        <w:t>年度部门决算表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9"/>
        <w:spacing w:line="52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2019</w:t>
      </w:r>
      <w:r>
        <w:rPr>
          <w:rFonts w:hint="eastAsia" w:hAnsi="仿宋_GB2312"/>
          <w:b/>
          <w:color w:val="auto"/>
          <w:sz w:val="28"/>
          <w:szCs w:val="28"/>
        </w:rPr>
        <w:t>年度部门决算情况说明</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w:t>
      </w:r>
      <w:r>
        <w:rPr>
          <w:rFonts w:hint="eastAsia" w:ascii="仿宋_GB2312" w:hAnsi="仿宋_GB2312" w:cs="仿宋_GB2312"/>
          <w:kern w:val="0"/>
          <w:sz w:val="28"/>
          <w:szCs w:val="28"/>
        </w:rPr>
        <w:t>决算收支增减变化情况说明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六、</w:t>
      </w:r>
      <w:r>
        <w:rPr>
          <w:rFonts w:hint="eastAsia" w:ascii="仿宋_GB2312" w:hAnsi="仿宋_GB2312" w:cs="仿宋_GB2312"/>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七、</w:t>
      </w:r>
      <w:r>
        <w:rPr>
          <w:rFonts w:hint="eastAsia" w:ascii="仿宋_GB2312" w:hAnsi="仿宋_GB2312" w:cs="仿宋_GB2312"/>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八</w:t>
      </w:r>
      <w:r>
        <w:rPr>
          <w:rFonts w:ascii="仿宋_GB2312" w:hAnsi="仿宋_GB2312" w:cs="仿宋_GB2312"/>
          <w:kern w:val="0"/>
          <w:sz w:val="28"/>
          <w:szCs w:val="28"/>
        </w:rPr>
        <w:t>、</w:t>
      </w:r>
      <w:r>
        <w:rPr>
          <w:rFonts w:hint="eastAsia" w:ascii="仿宋_GB2312" w:hAnsi="仿宋_GB2312" w:cs="仿宋_GB2312"/>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w:t>
      </w:r>
      <w:r>
        <w:rPr>
          <w:rFonts w:hint="eastAsia" w:ascii="仿宋_GB2312" w:hAnsi="仿宋_GB2312" w:cs="仿宋_GB2312"/>
          <w:kern w:val="0"/>
          <w:sz w:val="28"/>
          <w:szCs w:val="28"/>
        </w:rPr>
        <w:t>关于2019年度预算绩效情况说明</w:t>
      </w:r>
    </w:p>
    <w:p>
      <w:pPr>
        <w:autoSpaceDE w:val="0"/>
        <w:autoSpaceDN w:val="0"/>
        <w:adjustRightInd w:val="0"/>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第四部分名词解释</w:t>
      </w:r>
    </w:p>
    <w:p>
      <w:pPr>
        <w:spacing w:line="520" w:lineRule="exact"/>
        <w:jc w:val="left"/>
        <w:rPr>
          <w:rFonts w:ascii="黑体" w:hAnsi="黑体" w:eastAsia="黑体" w:cs="仿宋_GB2312"/>
          <w:b/>
          <w:kern w:val="0"/>
          <w:sz w:val="28"/>
          <w:szCs w:val="28"/>
        </w:rPr>
      </w:pPr>
      <w:r>
        <w:rPr>
          <w:rFonts w:ascii="黑体" w:hAnsi="黑体" w:eastAsia="黑体" w:cs="黑体"/>
          <w:b/>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color w:val="auto"/>
          <w:sz w:val="84"/>
          <w:szCs w:val="84"/>
        </w:rPr>
      </w:pPr>
      <w:r>
        <w:rPr>
          <w:rFonts w:hint="eastAsia"/>
          <w:color w:val="auto"/>
          <w:sz w:val="84"/>
          <w:szCs w:val="84"/>
        </w:rPr>
        <w:t>第一部分</w:t>
      </w:r>
    </w:p>
    <w:p>
      <w:pPr>
        <w:pStyle w:val="9"/>
        <w:jc w:val="center"/>
        <w:rPr>
          <w:color w:val="auto"/>
          <w:sz w:val="84"/>
          <w:szCs w:val="84"/>
        </w:rPr>
      </w:pPr>
    </w:p>
    <w:p>
      <w:pPr>
        <w:pStyle w:val="9"/>
        <w:jc w:val="center"/>
        <w:rPr>
          <w:color w:val="auto"/>
          <w:sz w:val="84"/>
          <w:szCs w:val="84"/>
        </w:rPr>
      </w:pPr>
      <w:r>
        <w:rPr>
          <w:rFonts w:hint="eastAsia"/>
          <w:color w:val="auto"/>
          <w:sz w:val="84"/>
          <w:szCs w:val="84"/>
        </w:rPr>
        <w:t>怀化市鹤城区贺家田小学概况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怀化市鹤城区贺家田学校是全额拨款的事业单位。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2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cs="仿宋" w:asciiTheme="minorEastAsia" w:hAnsiTheme="minorEastAsia"/>
          <w:sz w:val="32"/>
          <w:szCs w:val="32"/>
        </w:rPr>
        <w:t>内设5个办公室，分别为办公室、教务处、总务处、德育处、教研室。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（二）决算单位构成：怀化市鹤城区贺家田学校本级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color w:val="auto"/>
          <w:sz w:val="72"/>
          <w:szCs w:val="72"/>
        </w:rPr>
        <w:sectPr>
          <w:pgSz w:w="16838" w:h="11906" w:orient="landscape"/>
          <w:pgMar w:top="720" w:right="720" w:bottom="720" w:left="720" w:header="851" w:footer="992" w:gutter="0"/>
          <w:cols w:space="425" w:num="1"/>
          <w:docGrid w:type="lines" w:linePitch="312" w:charSpace="0"/>
        </w:sectPr>
      </w:pPr>
    </w:p>
    <w:p>
      <w:pPr>
        <w:pStyle w:val="9"/>
        <w:rPr>
          <w:color w:val="auto"/>
          <w:sz w:val="72"/>
          <w:szCs w:val="72"/>
        </w:rPr>
      </w:pPr>
    </w:p>
    <w:p>
      <w:pPr>
        <w:pStyle w:val="9"/>
        <w:rPr>
          <w:color w:val="auto"/>
          <w:sz w:val="72"/>
          <w:szCs w:val="72"/>
        </w:rPr>
      </w:pPr>
    </w:p>
    <w:p>
      <w:pPr>
        <w:pStyle w:val="9"/>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第三部分</w:t>
      </w:r>
    </w:p>
    <w:p>
      <w:pPr>
        <w:pStyle w:val="9"/>
        <w:jc w:val="center"/>
        <w:rPr>
          <w:color w:val="auto"/>
          <w:sz w:val="70"/>
          <w:szCs w:val="70"/>
        </w:rPr>
      </w:pPr>
    </w:p>
    <w:p>
      <w:pPr>
        <w:pStyle w:val="9"/>
        <w:jc w:val="center"/>
        <w:rPr>
          <w:color w:val="auto"/>
          <w:sz w:val="70"/>
          <w:szCs w:val="70"/>
        </w:rPr>
      </w:pPr>
      <w:r>
        <w:rPr>
          <w:color w:val="auto"/>
          <w:sz w:val="70"/>
          <w:szCs w:val="70"/>
        </w:rPr>
        <w:t>2019</w:t>
      </w:r>
      <w:r>
        <w:rPr>
          <w:rFonts w:hint="eastAsia"/>
          <w:color w:val="auto"/>
          <w:sz w:val="70"/>
          <w:szCs w:val="70"/>
        </w:rPr>
        <w:t>年度部门决算情况说明</w:t>
      </w:r>
    </w:p>
    <w:p>
      <w:pPr>
        <w:widowControl/>
        <w:jc w:val="left"/>
        <w:rPr>
          <w:rFonts w:ascii="黑体" w:eastAsia="黑体" w:cs="黑体"/>
          <w:kern w:val="0"/>
          <w:sz w:val="70"/>
          <w:szCs w:val="70"/>
        </w:rPr>
      </w:pPr>
      <w:r>
        <w:rPr>
          <w:sz w:val="70"/>
          <w:szCs w:val="70"/>
        </w:rPr>
        <w:br w:type="page"/>
      </w:r>
    </w:p>
    <w:p>
      <w:pPr>
        <w:pStyle w:val="9"/>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一、收入支出决算总体情况说明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2019年度收入总计</w:t>
      </w:r>
      <w:r>
        <w:rPr>
          <w:rFonts w:hint="eastAsia" w:asciiTheme="minorEastAsia" w:hAnsiTheme="minorEastAsia" w:eastAsiaTheme="minorEastAsia"/>
          <w:sz w:val="32"/>
          <w:szCs w:val="32"/>
        </w:rPr>
        <w:t>319.42</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2019年度支出总计319.42万元，由于18年学校并未单独填报决算，自19年作为新增单位开始单独报决算故无法与上年数据进行对比.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二、收入决算情况说明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本年收入合计</w:t>
      </w:r>
      <w:r>
        <w:rPr>
          <w:rFonts w:hint="eastAsia" w:asciiTheme="minorEastAsia" w:hAnsiTheme="minorEastAsia" w:eastAsiaTheme="minorEastAsia"/>
          <w:sz w:val="32"/>
          <w:szCs w:val="32"/>
        </w:rPr>
        <w:t>319.42</w:t>
      </w:r>
      <w:r>
        <w:rPr>
          <w:rFonts w:hint="eastAsia" w:asciiTheme="minorEastAsia" w:hAnsiTheme="minorEastAsia" w:eastAsiaTheme="minorEastAsia"/>
          <w:color w:val="auto"/>
          <w:sz w:val="32"/>
          <w:szCs w:val="32"/>
        </w:rPr>
        <w:t>万元，其中：财政拨款收入</w:t>
      </w:r>
      <w:r>
        <w:rPr>
          <w:rFonts w:hint="eastAsia" w:asciiTheme="minorEastAsia" w:hAnsiTheme="minorEastAsia" w:eastAsiaTheme="minorEastAsia"/>
          <w:sz w:val="32"/>
          <w:szCs w:val="32"/>
        </w:rPr>
        <w:t>313.47</w:t>
      </w:r>
      <w:r>
        <w:rPr>
          <w:rFonts w:hint="eastAsia" w:asciiTheme="minorEastAsia" w:hAnsiTheme="minorEastAsia" w:eastAsiaTheme="minorEastAsia"/>
          <w:color w:val="auto"/>
          <w:sz w:val="32"/>
          <w:szCs w:val="32"/>
        </w:rPr>
        <w:t>万元，占98.1%；上级补助收入0万元，占0%；事业收入0万元，占0%；经营收入0万元，占0%；附属单位上缴收入0万元，占0%；其他收入5.9万元，占1.9%。</w:t>
      </w:r>
    </w:p>
    <w:p>
      <w:pPr>
        <w:pStyle w:val="9"/>
        <w:rPr>
          <w:rFonts w:hAnsi="黑体"/>
          <w:b/>
          <w:color w:val="auto"/>
          <w:sz w:val="32"/>
          <w:szCs w:val="32"/>
        </w:rPr>
      </w:pPr>
      <w:r>
        <w:rPr>
          <w:rFonts w:hint="eastAsia" w:hAnsi="黑体"/>
          <w:b/>
          <w:color w:val="auto"/>
          <w:sz w:val="32"/>
          <w:szCs w:val="32"/>
        </w:rPr>
        <w:t>三、支出决算情况说明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本年支出合计</w:t>
      </w:r>
      <w:r>
        <w:rPr>
          <w:rFonts w:hint="eastAsia" w:asciiTheme="minorEastAsia" w:hAnsiTheme="minorEastAsia" w:eastAsiaTheme="minorEastAsia"/>
          <w:sz w:val="32"/>
          <w:szCs w:val="32"/>
        </w:rPr>
        <w:t>319.42</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sz w:val="32"/>
          <w:szCs w:val="32"/>
        </w:rPr>
        <w:t>261.3</w:t>
      </w:r>
      <w:r>
        <w:rPr>
          <w:rFonts w:hint="eastAsia" w:asciiTheme="minorEastAsia" w:hAnsiTheme="minorEastAsia" w:eastAsiaTheme="minorEastAsia"/>
          <w:color w:val="auto"/>
          <w:sz w:val="32"/>
          <w:szCs w:val="32"/>
        </w:rPr>
        <w:t>万元，占81.8%；项目支出</w:t>
      </w:r>
      <w:r>
        <w:rPr>
          <w:rFonts w:hint="eastAsia" w:asciiTheme="minorEastAsia" w:hAnsiTheme="minorEastAsia" w:eastAsiaTheme="minorEastAsia"/>
          <w:sz w:val="32"/>
          <w:szCs w:val="32"/>
        </w:rPr>
        <w:t>58.1</w:t>
      </w:r>
      <w:r>
        <w:rPr>
          <w:rFonts w:hint="eastAsia" w:asciiTheme="minorEastAsia" w:hAnsiTheme="minorEastAsia" w:eastAsiaTheme="minorEastAsia"/>
          <w:color w:val="auto"/>
          <w:sz w:val="32"/>
          <w:szCs w:val="32"/>
        </w:rPr>
        <w:t>万元，占18.2%；上缴上级支出0万元，占0%；经营支出0万元，占0%；对附属单位补助支出0万元，占0%。</w:t>
      </w:r>
    </w:p>
    <w:p>
      <w:pPr>
        <w:pStyle w:val="9"/>
        <w:rPr>
          <w:rFonts w:hAnsi="黑体"/>
          <w:b/>
          <w:color w:val="auto"/>
          <w:sz w:val="32"/>
          <w:szCs w:val="32"/>
        </w:rPr>
      </w:pPr>
      <w:r>
        <w:rPr>
          <w:rFonts w:hint="eastAsia" w:hAnsi="黑体"/>
          <w:b/>
          <w:color w:val="auto"/>
          <w:sz w:val="32"/>
          <w:szCs w:val="32"/>
        </w:rPr>
        <w:t>四、财政拨款收入支出决算总体情况说明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2019年度财政拨款收入总计</w:t>
      </w:r>
      <w:r>
        <w:rPr>
          <w:rFonts w:hint="eastAsia" w:asciiTheme="minorEastAsia" w:hAnsiTheme="minorEastAsia" w:eastAsiaTheme="minorEastAsia"/>
          <w:sz w:val="32"/>
          <w:szCs w:val="32"/>
        </w:rPr>
        <w:t>313.47</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w:t>
      </w:r>
      <w:r>
        <w:rPr>
          <w:rFonts w:hint="eastAsia" w:asciiTheme="minorEastAsia" w:hAnsiTheme="minorEastAsia" w:eastAsiaTheme="minorEastAsia"/>
          <w:sz w:val="32"/>
          <w:szCs w:val="32"/>
        </w:rPr>
        <w:t>313.47</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五、决算收支增减变化情况说明</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2019年决算收入合计</w:t>
      </w:r>
      <w:r>
        <w:rPr>
          <w:rFonts w:hint="eastAsia" w:asciiTheme="minorEastAsia" w:hAnsiTheme="minorEastAsia" w:eastAsiaTheme="minorEastAsia"/>
          <w:sz w:val="32"/>
          <w:szCs w:val="32"/>
        </w:rPr>
        <w:t>319.42</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2019年决算支出合计</w:t>
      </w:r>
      <w:r>
        <w:rPr>
          <w:rFonts w:hint="eastAsia" w:asciiTheme="minorEastAsia" w:hAnsiTheme="minorEastAsia" w:eastAsiaTheme="minorEastAsia"/>
          <w:sz w:val="32"/>
          <w:szCs w:val="32"/>
        </w:rPr>
        <w:t>319.42</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color w:val="auto"/>
          <w:sz w:val="32"/>
          <w:szCs w:val="32"/>
        </w:rPr>
      </w:pPr>
      <w:r>
        <w:rPr>
          <w:rFonts w:hint="eastAsia" w:hAnsi="黑体"/>
          <w:b/>
          <w:color w:val="auto"/>
          <w:sz w:val="32"/>
          <w:szCs w:val="32"/>
        </w:rPr>
        <w:t>六、一般公共预算财政拨款支出决算情况说明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hint="eastAsia" w:asciiTheme="minorEastAsia" w:hAnsiTheme="minorEastAsia" w:eastAsiaTheme="minorEastAsia"/>
          <w:sz w:val="32"/>
          <w:szCs w:val="32"/>
        </w:rPr>
        <w:t>313.47</w:t>
      </w:r>
      <w:r>
        <w:rPr>
          <w:rFonts w:hint="eastAsia" w:asciiTheme="minorEastAsia" w:hAnsiTheme="minorEastAsia" w:eastAsiaTheme="minorEastAsia"/>
          <w:color w:val="auto"/>
          <w:sz w:val="32"/>
          <w:szCs w:val="32"/>
        </w:rPr>
        <w:t>万元，占本年支出合计的98.1%，由于18年学校并未单独填报决算，自19年作为新增单位开始单独报决算故无法与上年数据进行对比.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（二）财政拨款支出决算结构情况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w:t>
      </w:r>
      <w:r>
        <w:rPr>
          <w:rFonts w:hint="eastAsia" w:asciiTheme="minorEastAsia" w:hAnsiTheme="minorEastAsia" w:eastAsiaTheme="minorEastAsia"/>
          <w:sz w:val="32"/>
          <w:szCs w:val="32"/>
        </w:rPr>
        <w:t>313.4</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color w:val="auto"/>
          <w:sz w:val="32"/>
          <w:szCs w:val="32"/>
        </w:rPr>
        <w:t>万元，主要用于中小学教育（类）</w:t>
      </w:r>
      <w:r>
        <w:rPr>
          <w:rFonts w:hint="eastAsia" w:asciiTheme="minorEastAsia" w:hAnsiTheme="minorEastAsia" w:eastAsiaTheme="minorEastAsia"/>
          <w:sz w:val="32"/>
          <w:szCs w:val="32"/>
        </w:rPr>
        <w:t>313.47万元</w:t>
      </w:r>
      <w:r>
        <w:rPr>
          <w:rFonts w:hint="eastAsia" w:asciiTheme="minorEastAsia" w:hAnsiTheme="minorEastAsia" w:eastAsiaTheme="minorEastAsia"/>
          <w:color w:val="auto"/>
          <w:sz w:val="32"/>
          <w:szCs w:val="32"/>
        </w:rPr>
        <w:t>，占100%。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w:t>
      </w:r>
      <w:r>
        <w:rPr>
          <w:rFonts w:hint="eastAsia" w:asciiTheme="minorEastAsia" w:hAnsiTheme="minorEastAsia" w:eastAsiaTheme="minorEastAsia"/>
          <w:sz w:val="32"/>
          <w:szCs w:val="32"/>
        </w:rPr>
        <w:t>313.47</w:t>
      </w:r>
      <w:r>
        <w:rPr>
          <w:rFonts w:hint="eastAsia" w:asciiTheme="minorEastAsia" w:hAnsiTheme="minorEastAsia" w:eastAsiaTheme="minorEastAsia"/>
          <w:color w:val="auto"/>
          <w:sz w:val="32"/>
          <w:szCs w:val="32"/>
        </w:rPr>
        <w:t>万元，支出决算数为</w:t>
      </w:r>
      <w:r>
        <w:rPr>
          <w:rFonts w:hint="eastAsia" w:asciiTheme="minorEastAsia" w:hAnsiTheme="minorEastAsia" w:eastAsiaTheme="minorEastAsia"/>
          <w:sz w:val="32"/>
          <w:szCs w:val="32"/>
        </w:rPr>
        <w:t>313.47万元</w:t>
      </w:r>
      <w:r>
        <w:rPr>
          <w:rFonts w:hint="eastAsia" w:asciiTheme="minorEastAsia" w:hAnsiTheme="minorEastAsia" w:eastAsiaTheme="minorEastAsia"/>
          <w:color w:val="auto"/>
          <w:sz w:val="32"/>
          <w:szCs w:val="32"/>
        </w:rPr>
        <w:t>，完成年初预算的100%，其中：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1、教育支出205（类）普通教育02（款）小学教育02（项）。年初预算为255.4万元，支出决算为255.4万元，完成年初预算的100%。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2、教育支出205（类）普通教育02（款）其他普通教育支出99（项）。年初预算为58.1万元，支出决算为58.1万元，完成年初预算的100%。</w:t>
      </w:r>
    </w:p>
    <w:p>
      <w:pPr>
        <w:pStyle w:val="9"/>
        <w:ind w:firstLine="640" w:firstLineChars="200"/>
        <w:rPr>
          <w:rFonts w:asciiTheme="minorEastAsia" w:hAnsiTheme="minorEastAsia" w:eastAsiaTheme="minorEastAsia"/>
          <w:color w:val="auto"/>
          <w:sz w:val="32"/>
          <w:szCs w:val="32"/>
        </w:rPr>
      </w:pPr>
    </w:p>
    <w:p>
      <w:pPr>
        <w:pStyle w:val="9"/>
        <w:rPr>
          <w:rFonts w:hAnsi="黑体"/>
          <w:b/>
          <w:color w:val="auto"/>
          <w:sz w:val="32"/>
          <w:szCs w:val="32"/>
        </w:rPr>
      </w:pPr>
      <w:r>
        <w:rPr>
          <w:rFonts w:hint="eastAsia" w:hAnsi="黑体"/>
          <w:b/>
          <w:color w:val="auto"/>
          <w:sz w:val="32"/>
          <w:szCs w:val="32"/>
        </w:rPr>
        <w:t>七、一般公共预算财政拨款基本支出决算情况说明</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2019年度财政拨款基本支出255.4</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万元，其中：人员经费212.</w:t>
      </w:r>
      <w:r>
        <w:rPr>
          <w:rFonts w:hint="eastAsia" w:asciiTheme="minorEastAsia" w:hAnsiTheme="minorEastAsia" w:eastAsiaTheme="minorEastAsia"/>
          <w:sz w:val="32"/>
          <w:szCs w:val="32"/>
          <w:lang w:val="en-US" w:eastAsia="zh-CN"/>
        </w:rPr>
        <w:t>08</w:t>
      </w:r>
      <w:r>
        <w:rPr>
          <w:rFonts w:hint="eastAsia" w:asciiTheme="minorEastAsia" w:hAnsiTheme="minorEastAsia" w:eastAsiaTheme="minorEastAsia"/>
          <w:sz w:val="32"/>
          <w:szCs w:val="32"/>
        </w:rPr>
        <w:t>万元，占基本支出的83%,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43.3</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万元，占基本支出的17%，主要包括办公费、印刷费、手续费、水费、电费、邮电费、差旅费、工会经费、福利费、其他商品和服务支出。</w:t>
      </w:r>
    </w:p>
    <w:p>
      <w:pPr>
        <w:pStyle w:val="9"/>
        <w:rPr>
          <w:rFonts w:hAnsi="黑体"/>
          <w:b/>
          <w:color w:val="auto"/>
          <w:sz w:val="32"/>
          <w:szCs w:val="32"/>
        </w:rPr>
      </w:pPr>
      <w:r>
        <w:rPr>
          <w:rFonts w:hint="eastAsia" w:hAnsi="黑体"/>
          <w:b/>
          <w:color w:val="auto"/>
          <w:sz w:val="32"/>
          <w:szCs w:val="32"/>
        </w:rPr>
        <w:t>八、一般公共预算财政拨款三公经费支出决算情况说明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“三公”经费财政拨款支出预算为</w:t>
      </w:r>
      <w:r>
        <w:rPr>
          <w:rFonts w:hint="eastAsia" w:asciiTheme="minorEastAsia" w:hAnsiTheme="minorEastAsia" w:eastAsiaTheme="minorEastAsia"/>
          <w:color w:val="000000" w:themeColor="text1"/>
          <w:sz w:val="32"/>
          <w:szCs w:val="32"/>
        </w:rPr>
        <w:t>5</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000000" w:themeColor="text1"/>
          <w:sz w:val="32"/>
          <w:szCs w:val="32"/>
        </w:rPr>
        <w:t>2.63</w:t>
      </w:r>
      <w:r>
        <w:rPr>
          <w:rFonts w:hint="eastAsia" w:asciiTheme="minorEastAsia" w:hAnsiTheme="minorEastAsia" w:eastAsiaTheme="minorEastAsia"/>
          <w:color w:val="auto"/>
          <w:sz w:val="32"/>
          <w:szCs w:val="32"/>
        </w:rPr>
        <w:t>万元，完成预算的52.6%，其中：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w:t>
      </w:r>
      <w:r>
        <w:rPr>
          <w:rFonts w:hint="eastAsia" w:asciiTheme="minorEastAsia" w:hAnsiTheme="minorEastAsia" w:eastAsiaTheme="minorEastAsia"/>
          <w:color w:val="000000" w:themeColor="text1"/>
          <w:sz w:val="32"/>
          <w:szCs w:val="32"/>
        </w:rPr>
        <w:t>5</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000000" w:themeColor="text1"/>
          <w:sz w:val="32"/>
          <w:szCs w:val="32"/>
        </w:rPr>
        <w:t>2.63</w:t>
      </w:r>
      <w:r>
        <w:rPr>
          <w:rFonts w:hint="eastAsia" w:asciiTheme="minorEastAsia" w:hAnsiTheme="minorEastAsia" w:eastAsiaTheme="minorEastAsia"/>
          <w:color w:val="auto"/>
          <w:sz w:val="32"/>
          <w:szCs w:val="32"/>
        </w:rPr>
        <w:t>万元，完成预算的52.6%。决算比预算减少的原因是单位严控“三公”开支。</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w:t>
      </w:r>
      <w:bookmarkStart w:id="0" w:name="_GoBack"/>
      <w:bookmarkEnd w:id="0"/>
      <w:r>
        <w:rPr>
          <w:rFonts w:hint="eastAsia" w:asciiTheme="minorEastAsia" w:hAnsiTheme="minorEastAsia" w:eastAsiaTheme="minorEastAsia"/>
          <w:color w:val="000000" w:themeColor="text1"/>
          <w:sz w:val="32"/>
          <w:szCs w:val="32"/>
        </w:rPr>
        <w:t>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2019年度“三公”经费财政拨款支出决算中，公务接待费支出决算</w:t>
      </w:r>
      <w:r>
        <w:rPr>
          <w:rFonts w:hint="eastAsia" w:asciiTheme="minorEastAsia" w:hAnsiTheme="minorEastAsia" w:eastAsiaTheme="minorEastAsia"/>
          <w:color w:val="000000" w:themeColor="text1"/>
          <w:sz w:val="32"/>
          <w:szCs w:val="32"/>
        </w:rPr>
        <w:t>2.63</w:t>
      </w:r>
      <w:r>
        <w:rPr>
          <w:rFonts w:hint="eastAsia" w:asciiTheme="minorEastAsia" w:hAnsiTheme="minorEastAsia" w:eastAsiaTheme="minorEastAsia"/>
          <w:color w:val="auto"/>
          <w:sz w:val="32"/>
          <w:szCs w:val="32"/>
        </w:rPr>
        <w:t>万元，占年初预算的52.6%。其中：</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1、因公出国（境）费支出决算为0万元，全年安排因公出国（境）团组0个，累计0人次。</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2、公务接待费支出决算为2.63万元，全年共接待来访团组23个、来宾570人次。</w:t>
      </w:r>
    </w:p>
    <w:p>
      <w:pPr>
        <w:ind w:firstLine="640" w:firstLineChars="200"/>
        <w:rPr>
          <w:rFonts w:cs="黑体" w:asciiTheme="minorEastAsia" w:hAnsiTheme="minorEastAsia"/>
          <w:color w:val="000000" w:themeColor="text1"/>
          <w:kern w:val="0"/>
          <w:sz w:val="32"/>
          <w:szCs w:val="32"/>
        </w:rPr>
      </w:pPr>
      <w:r>
        <w:rPr>
          <w:rFonts w:hint="eastAsia" w:asciiTheme="minorEastAsia" w:hAnsiTheme="minorEastAsia"/>
          <w:sz w:val="32"/>
          <w:szCs w:val="32"/>
        </w:rPr>
        <w:t>3、</w:t>
      </w:r>
      <w:r>
        <w:rPr>
          <w:rFonts w:hint="eastAsia" w:asciiTheme="minorEastAsia" w:hAnsiTheme="minorEastAsia"/>
          <w:color w:val="000000" w:themeColor="text1"/>
          <w:sz w:val="32"/>
          <w:szCs w:val="32"/>
        </w:rPr>
        <w:t>公务用车购置费及运行维护费支出决算为0万元，其中：公务用车购置费0万元，0（单位本级或某二级机构）更新公务用车0辆。公务用车运行维护费0万元，截止2019年12月31日，我单位开支财政拨款的公务用车保有量为0辆。</w:t>
      </w:r>
    </w:p>
    <w:p>
      <w:pPr>
        <w:pStyle w:val="9"/>
        <w:rPr>
          <w:rFonts w:hAnsi="黑体"/>
          <w:b/>
          <w:color w:val="auto"/>
          <w:sz w:val="32"/>
          <w:szCs w:val="32"/>
        </w:rPr>
      </w:pPr>
      <w:r>
        <w:rPr>
          <w:rFonts w:hint="eastAsia" w:hAnsi="黑体"/>
          <w:b/>
          <w:color w:val="auto"/>
          <w:sz w:val="32"/>
          <w:szCs w:val="32"/>
        </w:rPr>
        <w:t>九、政府性基金预算收入支出决算情况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十、关于2019年度预算绩效情况说明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本部门开支工会经费5万元；开支培训费1.35万元，用于外出教育教学专门培训，办公费1.79万元；印刷费1.11万元；水费0.09万元；电费3.25万元；取暖费0万元，差旅费4.35万元，会议费0万元；公务接待费2.63万元，维修（护）费50万元用于维持教育教学工作运行。</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kern w:val="0"/>
          <w:sz w:val="32"/>
          <w:szCs w:val="3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第四部分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名词解释</w:t>
      </w:r>
    </w:p>
    <w:p>
      <w:pPr>
        <w:widowControl/>
        <w:jc w:val="left"/>
        <w:rPr>
          <w:rFonts w:ascii="黑体" w:eastAsia="黑体" w:cs="黑体"/>
          <w:kern w:val="0"/>
          <w:sz w:val="70"/>
          <w:szCs w:val="70"/>
        </w:rPr>
      </w:pPr>
      <w:r>
        <w:rPr>
          <w:rFonts w:ascii="黑体" w:eastAsia="黑体" w:cs="黑体"/>
          <w:kern w:val="0"/>
          <w:sz w:val="70"/>
          <w:szCs w:val="70"/>
        </w:rPr>
        <w:br w:type="page"/>
      </w:r>
    </w:p>
    <w:p>
      <w:pPr>
        <w:ind w:firstLine="640" w:firstLineChars="200"/>
        <w:jc w:val="left"/>
        <w:rPr>
          <w:rFonts w:cs="黑体" w:asciiTheme="minorEastAsia" w:hAnsiTheme="minorEastAsia"/>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sz w:val="32"/>
          <w:szCs w:val="32"/>
        </w:rPr>
      </w:pPr>
      <w:r>
        <w:rPr>
          <w:rFonts w:asciiTheme="minorEastAsia" w:hAnsiTheme="minorEastAsia"/>
          <w:i/>
          <w:sz w:val="32"/>
          <w:szCs w:val="32"/>
        </w:rPr>
        <w:br w:type="page"/>
      </w: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p>
    <w:p>
      <w:pPr>
        <w:pStyle w:val="9"/>
        <w:jc w:val="center"/>
        <w:rPr>
          <w:color w:val="auto"/>
          <w:sz w:val="72"/>
          <w:szCs w:val="72"/>
        </w:rPr>
      </w:pPr>
      <w:r>
        <w:rPr>
          <w:rFonts w:hint="eastAsia"/>
          <w:color w:val="auto"/>
          <w:sz w:val="72"/>
          <w:szCs w:val="72"/>
        </w:rPr>
        <w:t>第五部分</w:t>
      </w:r>
    </w:p>
    <w:p>
      <w:pPr>
        <w:jc w:val="center"/>
        <w:rPr>
          <w:rFonts w:ascii="黑体" w:eastAsia="黑体" w:cs="黑体"/>
          <w:kern w:val="0"/>
          <w:sz w:val="70"/>
          <w:szCs w:val="70"/>
        </w:rPr>
      </w:pPr>
    </w:p>
    <w:p>
      <w:pPr>
        <w:jc w:val="center"/>
        <w:rPr>
          <w:rFonts w:ascii="黑体" w:eastAsia="黑体" w:cs="黑体"/>
          <w:kern w:val="0"/>
          <w:sz w:val="70"/>
          <w:szCs w:val="70"/>
        </w:rPr>
      </w:pPr>
      <w:r>
        <w:rPr>
          <w:rFonts w:hint="eastAsia" w:ascii="黑体" w:eastAsia="黑体" w:cs="黑体"/>
          <w:kern w:val="0"/>
          <w:sz w:val="70"/>
          <w:szCs w:val="70"/>
        </w:rPr>
        <w:t>附件</w:t>
      </w:r>
    </w:p>
    <w:p>
      <w:pPr>
        <w:widowControl/>
        <w:jc w:val="left"/>
        <w:rPr>
          <w:rFonts w:ascii="黑体" w:eastAsia="黑体" w:cs="黑体"/>
          <w:kern w:val="0"/>
          <w:sz w:val="70"/>
          <w:szCs w:val="70"/>
        </w:rPr>
      </w:pPr>
      <w:r>
        <w:rPr>
          <w:rFonts w:ascii="黑体" w:eastAsia="黑体" w:cs="黑体"/>
          <w:kern w:val="0"/>
          <w:sz w:val="70"/>
          <w:szCs w:val="70"/>
        </w:rPr>
        <w:br w:type="page"/>
      </w:r>
    </w:p>
    <w:p>
      <w:pPr>
        <w:jc w:val="center"/>
        <w:rPr>
          <w:rFonts w:ascii="黑体" w:eastAsia="黑体" w:cs="黑体"/>
          <w:kern w:val="0"/>
          <w:sz w:val="70"/>
          <w:szCs w:val="70"/>
        </w:rPr>
      </w:pPr>
    </w:p>
    <w:p>
      <w:pPr>
        <w:ind w:firstLine="640" w:firstLineChars="200"/>
        <w:jc w:val="center"/>
        <w:rPr>
          <w:rFonts w:cs="黑体" w:asciiTheme="minorEastAsia" w:hAnsiTheme="minorEastAsia"/>
          <w:b/>
          <w:kern w:val="0"/>
          <w:sz w:val="32"/>
          <w:szCs w:val="32"/>
        </w:rPr>
      </w:pPr>
      <w:r>
        <w:rPr>
          <w:rFonts w:hint="eastAsia" w:cs="黑体" w:asciiTheme="minorEastAsia" w:hAnsiTheme="minorEastAsia"/>
          <w:b/>
          <w:kern w:val="0"/>
          <w:sz w:val="32"/>
          <w:szCs w:val="32"/>
        </w:rPr>
        <w:t>2019年度部门整体支出绩效评价报告</w:t>
      </w:r>
    </w:p>
    <w:p>
      <w:pPr>
        <w:ind w:firstLine="640" w:firstLineChars="200"/>
        <w:jc w:val="center"/>
        <w:rPr>
          <w:rFonts w:cs="黑体" w:asciiTheme="minorEastAsia" w:hAnsiTheme="minorEastAsia"/>
          <w:b/>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cs="Times New Roman" w:asciiTheme="minorEastAsia" w:hAnsiTheme="minorEastAsia"/>
          <w:sz w:val="32"/>
          <w:szCs w:val="32"/>
        </w:rPr>
      </w:pPr>
      <w:r>
        <w:rPr>
          <w:rFonts w:hint="eastAsia" w:cs="宋体" w:asciiTheme="minorEastAsia" w:hAnsiTheme="minorEastAsia"/>
          <w:sz w:val="32"/>
          <w:szCs w:val="32"/>
        </w:rPr>
        <w:t>1、怀化市鹤城区贺家田学校是全额拨款的事业单位。</w:t>
      </w:r>
      <w:r>
        <w:rPr>
          <w:rFonts w:hint="eastAsia" w:cs="Times New Roman" w:asciiTheme="minorEastAsia" w:hAnsiTheme="minorEastAsia"/>
          <w:sz w:val="32"/>
          <w:szCs w:val="32"/>
        </w:rPr>
        <w:t>内设5个办公室，分别为办公室、教务处、总务处、德育处、教研室。</w:t>
      </w:r>
    </w:p>
    <w:p>
      <w:pPr>
        <w:ind w:firstLine="640" w:firstLineChars="200"/>
        <w:rPr>
          <w:rFonts w:cs="宋体" w:asciiTheme="minorEastAsia" w:hAnsiTheme="minorEastAsia"/>
          <w:sz w:val="32"/>
          <w:szCs w:val="32"/>
        </w:rPr>
      </w:pPr>
    </w:p>
    <w:p>
      <w:pPr>
        <w:spacing w:line="600" w:lineRule="exact"/>
        <w:ind w:firstLine="800" w:firstLineChars="250"/>
        <w:rPr>
          <w:rFonts w:asciiTheme="minorEastAsia" w:hAnsiTheme="minorEastAsia"/>
          <w:kern w:val="0"/>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ind w:firstLine="640" w:firstLineChars="200"/>
        <w:rPr>
          <w:rFonts w:cs="宋体" w:asciiTheme="minorEastAsia" w:hAnsiTheme="minorEastAsia"/>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3、编制人员情况:现实有在职人员22人（其中全额拨款22人，自收自支0人），离退休人员8人(其中财政拨款8人，自收自支0人），遗属人员3人。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313.47</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313.47</w:t>
      </w:r>
      <w:r>
        <w:rPr>
          <w:rFonts w:hint="eastAsia" w:cs="宋体" w:asciiTheme="minorEastAsia" w:hAnsiTheme="minorEastAsia"/>
          <w:sz w:val="32"/>
          <w:szCs w:val="32"/>
        </w:rPr>
        <w:t>万元，其中：人员经费支出</w:t>
      </w:r>
      <w:r>
        <w:rPr>
          <w:rFonts w:hint="eastAsia" w:asciiTheme="minorEastAsia" w:hAnsiTheme="minorEastAsia"/>
          <w:sz w:val="32"/>
          <w:szCs w:val="32"/>
        </w:rPr>
        <w:t>218.02</w:t>
      </w:r>
      <w:r>
        <w:rPr>
          <w:rFonts w:hint="eastAsia" w:cs="宋体" w:asciiTheme="minorEastAsia" w:hAnsiTheme="minorEastAsia"/>
          <w:sz w:val="32"/>
          <w:szCs w:val="32"/>
        </w:rPr>
        <w:t>万元，日常公用经费</w:t>
      </w:r>
      <w:r>
        <w:rPr>
          <w:rFonts w:hint="eastAsia" w:asciiTheme="minorEastAsia" w:hAnsiTheme="minorEastAsia"/>
          <w:sz w:val="32"/>
          <w:szCs w:val="32"/>
        </w:rPr>
        <w:t>43.32</w:t>
      </w:r>
      <w:r>
        <w:rPr>
          <w:rFonts w:hint="eastAsia" w:cs="宋体" w:asciiTheme="minorEastAsia" w:hAnsiTheme="minorEastAsia"/>
          <w:sz w:val="32"/>
          <w:szCs w:val="32"/>
        </w:rPr>
        <w:t>万元，项目支出为</w:t>
      </w:r>
      <w:r>
        <w:rPr>
          <w:rFonts w:hint="eastAsia" w:asciiTheme="minorEastAsia" w:hAnsiTheme="minorEastAsia"/>
          <w:sz w:val="32"/>
          <w:szCs w:val="32"/>
        </w:rPr>
        <w:t>58.07</w:t>
      </w:r>
      <w:r>
        <w:rPr>
          <w:rFonts w:hint="eastAsia" w:cs="宋体" w:asciiTheme="minorEastAsia" w:hAnsiTheme="minorEastAsia"/>
          <w:sz w:val="32"/>
          <w:szCs w:val="32"/>
        </w:rPr>
        <w:t>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3、“三公”经费说明：2019年度“三公”经费为2.63万元，根据各项规定，我单位按要求厉行节约，与年初预算比，</w:t>
      </w:r>
      <w:r>
        <w:rPr>
          <w:rFonts w:hint="eastAsia" w:asciiTheme="minorEastAsia" w:hAnsiTheme="minorEastAsia"/>
          <w:color w:val="000000" w:themeColor="text1"/>
          <w:sz w:val="32"/>
          <w:szCs w:val="32"/>
        </w:rPr>
        <w:t>完成预算的52.6%</w:t>
      </w:r>
      <w:r>
        <w:rPr>
          <w:rFonts w:hint="eastAsia" w:cs="宋体" w:asciiTheme="minorEastAsia" w:hAnsiTheme="minorEastAsia"/>
          <w:sz w:val="32"/>
          <w:szCs w:val="32"/>
        </w:rPr>
        <w:t>。</w:t>
      </w:r>
    </w:p>
    <w:p>
      <w:pPr>
        <w:ind w:firstLine="640" w:firstLineChars="200"/>
        <w:jc w:val="left"/>
        <w:rPr>
          <w:rFonts w:cs="黑体" w:asciiTheme="minorEastAsia" w:hAnsiTheme="minorEastAsia"/>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12C69"/>
    <w:rsid w:val="0002134F"/>
    <w:rsid w:val="0002229B"/>
    <w:rsid w:val="000273BD"/>
    <w:rsid w:val="00033094"/>
    <w:rsid w:val="00033915"/>
    <w:rsid w:val="00036354"/>
    <w:rsid w:val="00037D31"/>
    <w:rsid w:val="000415B7"/>
    <w:rsid w:val="00047F3D"/>
    <w:rsid w:val="000514BD"/>
    <w:rsid w:val="00060ED9"/>
    <w:rsid w:val="000658A3"/>
    <w:rsid w:val="00074155"/>
    <w:rsid w:val="00081C89"/>
    <w:rsid w:val="00083B5B"/>
    <w:rsid w:val="0008681D"/>
    <w:rsid w:val="000A3F69"/>
    <w:rsid w:val="000C2A32"/>
    <w:rsid w:val="000D515F"/>
    <w:rsid w:val="001422B9"/>
    <w:rsid w:val="00152A06"/>
    <w:rsid w:val="00152C6D"/>
    <w:rsid w:val="00162D39"/>
    <w:rsid w:val="00164F31"/>
    <w:rsid w:val="001651B4"/>
    <w:rsid w:val="0017231E"/>
    <w:rsid w:val="001804B7"/>
    <w:rsid w:val="0019026A"/>
    <w:rsid w:val="0019242D"/>
    <w:rsid w:val="00194895"/>
    <w:rsid w:val="001A67DB"/>
    <w:rsid w:val="001C3AE6"/>
    <w:rsid w:val="001C5F5E"/>
    <w:rsid w:val="001D3EBE"/>
    <w:rsid w:val="001D51E5"/>
    <w:rsid w:val="001E0CD3"/>
    <w:rsid w:val="001F0C3B"/>
    <w:rsid w:val="001F187A"/>
    <w:rsid w:val="001F28AF"/>
    <w:rsid w:val="002143B2"/>
    <w:rsid w:val="00214427"/>
    <w:rsid w:val="0022587E"/>
    <w:rsid w:val="00232AD6"/>
    <w:rsid w:val="00257BD8"/>
    <w:rsid w:val="00261728"/>
    <w:rsid w:val="00265724"/>
    <w:rsid w:val="00273BAA"/>
    <w:rsid w:val="0027426B"/>
    <w:rsid w:val="002848C0"/>
    <w:rsid w:val="002A3703"/>
    <w:rsid w:val="002C2A55"/>
    <w:rsid w:val="002C335B"/>
    <w:rsid w:val="002C4E8A"/>
    <w:rsid w:val="002C4F37"/>
    <w:rsid w:val="002E7140"/>
    <w:rsid w:val="00320832"/>
    <w:rsid w:val="0034439A"/>
    <w:rsid w:val="003479BD"/>
    <w:rsid w:val="00374827"/>
    <w:rsid w:val="003768D5"/>
    <w:rsid w:val="003825FE"/>
    <w:rsid w:val="00391D72"/>
    <w:rsid w:val="003B2385"/>
    <w:rsid w:val="003B2AE7"/>
    <w:rsid w:val="003B6FD5"/>
    <w:rsid w:val="003E150C"/>
    <w:rsid w:val="003F3911"/>
    <w:rsid w:val="00410E2F"/>
    <w:rsid w:val="0042598F"/>
    <w:rsid w:val="00437BE7"/>
    <w:rsid w:val="00440F65"/>
    <w:rsid w:val="0044115F"/>
    <w:rsid w:val="004442D4"/>
    <w:rsid w:val="0044488C"/>
    <w:rsid w:val="004506F9"/>
    <w:rsid w:val="00460F38"/>
    <w:rsid w:val="004717A2"/>
    <w:rsid w:val="00474F70"/>
    <w:rsid w:val="004821F6"/>
    <w:rsid w:val="00491741"/>
    <w:rsid w:val="004B425F"/>
    <w:rsid w:val="004C22AE"/>
    <w:rsid w:val="004D0B17"/>
    <w:rsid w:val="004E4B84"/>
    <w:rsid w:val="00500E5F"/>
    <w:rsid w:val="005122EF"/>
    <w:rsid w:val="00514C19"/>
    <w:rsid w:val="00517C33"/>
    <w:rsid w:val="00523644"/>
    <w:rsid w:val="0054069E"/>
    <w:rsid w:val="00545BFE"/>
    <w:rsid w:val="005557DF"/>
    <w:rsid w:val="00560D2A"/>
    <w:rsid w:val="00570ABF"/>
    <w:rsid w:val="00575522"/>
    <w:rsid w:val="005767CC"/>
    <w:rsid w:val="00590D9F"/>
    <w:rsid w:val="005958F3"/>
    <w:rsid w:val="00595D26"/>
    <w:rsid w:val="005A28F7"/>
    <w:rsid w:val="005A74E6"/>
    <w:rsid w:val="005B1FF8"/>
    <w:rsid w:val="005C04E7"/>
    <w:rsid w:val="005C3BCA"/>
    <w:rsid w:val="005D4D55"/>
    <w:rsid w:val="005D5052"/>
    <w:rsid w:val="005D6CD7"/>
    <w:rsid w:val="005E2CFB"/>
    <w:rsid w:val="005E3C93"/>
    <w:rsid w:val="005F0402"/>
    <w:rsid w:val="00622EAB"/>
    <w:rsid w:val="0062378F"/>
    <w:rsid w:val="00645175"/>
    <w:rsid w:val="00651EEC"/>
    <w:rsid w:val="00652413"/>
    <w:rsid w:val="006665DA"/>
    <w:rsid w:val="006701EC"/>
    <w:rsid w:val="0067578E"/>
    <w:rsid w:val="00676D61"/>
    <w:rsid w:val="00694C6D"/>
    <w:rsid w:val="006A351B"/>
    <w:rsid w:val="006B0422"/>
    <w:rsid w:val="006B2A77"/>
    <w:rsid w:val="006C1B53"/>
    <w:rsid w:val="006D7730"/>
    <w:rsid w:val="006E2E56"/>
    <w:rsid w:val="006E474B"/>
    <w:rsid w:val="006E5284"/>
    <w:rsid w:val="006F3EB5"/>
    <w:rsid w:val="00700BD2"/>
    <w:rsid w:val="00702E34"/>
    <w:rsid w:val="00704395"/>
    <w:rsid w:val="00712FD9"/>
    <w:rsid w:val="00720FF1"/>
    <w:rsid w:val="00721A2A"/>
    <w:rsid w:val="00723160"/>
    <w:rsid w:val="007234BE"/>
    <w:rsid w:val="00725763"/>
    <w:rsid w:val="00737EF0"/>
    <w:rsid w:val="0074149D"/>
    <w:rsid w:val="0077754B"/>
    <w:rsid w:val="007B6332"/>
    <w:rsid w:val="007B63CA"/>
    <w:rsid w:val="007C1E1B"/>
    <w:rsid w:val="007D02F0"/>
    <w:rsid w:val="007D2276"/>
    <w:rsid w:val="007F3D78"/>
    <w:rsid w:val="00800EFA"/>
    <w:rsid w:val="008065FF"/>
    <w:rsid w:val="00811297"/>
    <w:rsid w:val="00812ED5"/>
    <w:rsid w:val="008277D9"/>
    <w:rsid w:val="008333DD"/>
    <w:rsid w:val="0084314C"/>
    <w:rsid w:val="00853A6F"/>
    <w:rsid w:val="00860282"/>
    <w:rsid w:val="00865BC8"/>
    <w:rsid w:val="00880925"/>
    <w:rsid w:val="008966F0"/>
    <w:rsid w:val="008A01A3"/>
    <w:rsid w:val="008A1522"/>
    <w:rsid w:val="008A38D3"/>
    <w:rsid w:val="008A3E8D"/>
    <w:rsid w:val="008B501F"/>
    <w:rsid w:val="008F3501"/>
    <w:rsid w:val="0090115B"/>
    <w:rsid w:val="00901FFA"/>
    <w:rsid w:val="009237C4"/>
    <w:rsid w:val="00950252"/>
    <w:rsid w:val="00954086"/>
    <w:rsid w:val="0095520E"/>
    <w:rsid w:val="00967F5D"/>
    <w:rsid w:val="00972793"/>
    <w:rsid w:val="00991CDA"/>
    <w:rsid w:val="00995259"/>
    <w:rsid w:val="00995D2E"/>
    <w:rsid w:val="009A0F95"/>
    <w:rsid w:val="009A5F0E"/>
    <w:rsid w:val="009B3ADF"/>
    <w:rsid w:val="009B6E24"/>
    <w:rsid w:val="009C3B52"/>
    <w:rsid w:val="009C5BB9"/>
    <w:rsid w:val="009E423B"/>
    <w:rsid w:val="009E512C"/>
    <w:rsid w:val="00A13160"/>
    <w:rsid w:val="00A134FB"/>
    <w:rsid w:val="00A13692"/>
    <w:rsid w:val="00A13FAF"/>
    <w:rsid w:val="00A16F8F"/>
    <w:rsid w:val="00A17EAA"/>
    <w:rsid w:val="00A25CF1"/>
    <w:rsid w:val="00A32E0B"/>
    <w:rsid w:val="00A42218"/>
    <w:rsid w:val="00A43FF6"/>
    <w:rsid w:val="00A44DE2"/>
    <w:rsid w:val="00A46904"/>
    <w:rsid w:val="00A66966"/>
    <w:rsid w:val="00A70249"/>
    <w:rsid w:val="00A77ABE"/>
    <w:rsid w:val="00A909DF"/>
    <w:rsid w:val="00AA370B"/>
    <w:rsid w:val="00AB43A5"/>
    <w:rsid w:val="00AB79FD"/>
    <w:rsid w:val="00AF0E59"/>
    <w:rsid w:val="00AF2A4E"/>
    <w:rsid w:val="00AF5676"/>
    <w:rsid w:val="00B06C0A"/>
    <w:rsid w:val="00B1668C"/>
    <w:rsid w:val="00B33BEA"/>
    <w:rsid w:val="00B57C9F"/>
    <w:rsid w:val="00B716B6"/>
    <w:rsid w:val="00B845B3"/>
    <w:rsid w:val="00B85D8B"/>
    <w:rsid w:val="00B86EC5"/>
    <w:rsid w:val="00B913DB"/>
    <w:rsid w:val="00BA1F60"/>
    <w:rsid w:val="00BA497A"/>
    <w:rsid w:val="00BB3C97"/>
    <w:rsid w:val="00BC7861"/>
    <w:rsid w:val="00BD3B17"/>
    <w:rsid w:val="00BE3674"/>
    <w:rsid w:val="00BE6414"/>
    <w:rsid w:val="00C27AFF"/>
    <w:rsid w:val="00C3049A"/>
    <w:rsid w:val="00C31B1E"/>
    <w:rsid w:val="00C33A43"/>
    <w:rsid w:val="00C41556"/>
    <w:rsid w:val="00C54F98"/>
    <w:rsid w:val="00C77645"/>
    <w:rsid w:val="00CA00FF"/>
    <w:rsid w:val="00CA2E69"/>
    <w:rsid w:val="00CA35B5"/>
    <w:rsid w:val="00CD2083"/>
    <w:rsid w:val="00CD2B14"/>
    <w:rsid w:val="00CE04C3"/>
    <w:rsid w:val="00CE5BB2"/>
    <w:rsid w:val="00CE76A0"/>
    <w:rsid w:val="00D00C4D"/>
    <w:rsid w:val="00D01A21"/>
    <w:rsid w:val="00D041A1"/>
    <w:rsid w:val="00D148C6"/>
    <w:rsid w:val="00D22D2F"/>
    <w:rsid w:val="00D30EF3"/>
    <w:rsid w:val="00D5655F"/>
    <w:rsid w:val="00D602DE"/>
    <w:rsid w:val="00D639CF"/>
    <w:rsid w:val="00D6741D"/>
    <w:rsid w:val="00D85429"/>
    <w:rsid w:val="00DA70BE"/>
    <w:rsid w:val="00DC250F"/>
    <w:rsid w:val="00DC3E77"/>
    <w:rsid w:val="00DD06FF"/>
    <w:rsid w:val="00DD5FE9"/>
    <w:rsid w:val="00DE1019"/>
    <w:rsid w:val="00DF7F79"/>
    <w:rsid w:val="00E00C7A"/>
    <w:rsid w:val="00E117F6"/>
    <w:rsid w:val="00E25D58"/>
    <w:rsid w:val="00E30920"/>
    <w:rsid w:val="00E55B68"/>
    <w:rsid w:val="00E64F02"/>
    <w:rsid w:val="00E673AA"/>
    <w:rsid w:val="00E815FC"/>
    <w:rsid w:val="00E94ECA"/>
    <w:rsid w:val="00E9708F"/>
    <w:rsid w:val="00EB188B"/>
    <w:rsid w:val="00EC05F0"/>
    <w:rsid w:val="00EE405B"/>
    <w:rsid w:val="00F01955"/>
    <w:rsid w:val="00F01F25"/>
    <w:rsid w:val="00F03697"/>
    <w:rsid w:val="00F05BE8"/>
    <w:rsid w:val="00F123D5"/>
    <w:rsid w:val="00F158F4"/>
    <w:rsid w:val="00F221F7"/>
    <w:rsid w:val="00F36079"/>
    <w:rsid w:val="00F3635D"/>
    <w:rsid w:val="00F400E8"/>
    <w:rsid w:val="00F55CF3"/>
    <w:rsid w:val="00F5658C"/>
    <w:rsid w:val="00F67A14"/>
    <w:rsid w:val="00F7280E"/>
    <w:rsid w:val="00F74360"/>
    <w:rsid w:val="00F80316"/>
    <w:rsid w:val="00F86898"/>
    <w:rsid w:val="00F919D9"/>
    <w:rsid w:val="00FA5C78"/>
    <w:rsid w:val="00FB462F"/>
    <w:rsid w:val="00FC036A"/>
    <w:rsid w:val="00FC1FF2"/>
    <w:rsid w:val="00FD5395"/>
    <w:rsid w:val="00FD60B2"/>
    <w:rsid w:val="00FE16FA"/>
    <w:rsid w:val="00FE328A"/>
    <w:rsid w:val="00FE6A49"/>
    <w:rsid w:val="00FF0E51"/>
    <w:rsid w:val="00FF5A10"/>
    <w:rsid w:val="02FC03C5"/>
    <w:rsid w:val="1EB45A9E"/>
    <w:rsid w:val="24B3713F"/>
    <w:rsid w:val="2D275947"/>
    <w:rsid w:val="34376C0F"/>
    <w:rsid w:val="34E2717C"/>
    <w:rsid w:val="670526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5FF1F4-8552-4348-9D80-EA8753E076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593</Words>
  <Characters>3384</Characters>
  <Lines>28</Lines>
  <Paragraphs>7</Paragraphs>
  <TotalTime>15</TotalTime>
  <ScaleCrop>false</ScaleCrop>
  <LinksUpToDate>false</LinksUpToDate>
  <CharactersWithSpaces>3970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2020-09-03T02:03:00Z</dcterms:created>
  <dc:creator>李航 null</dc:creator>
  <cp:lastModifiedBy>且歌</cp:lastModifiedBy>
  <cp:lastPrinted>2020-08-31T00:57:00Z</cp:lastPrinted>
  <dcterms:modified xsi:type="dcterms:W3CDTF">2021-06-06T05:13:49Z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B4A22F5816124230B8FA2971044A0B59</vt:lpwstr>
  </property>
</Properties>
</file>