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jc w:val="center"/>
        <w:rPr>
          <w:sz w:val="56"/>
          <w:szCs w:val="56"/>
        </w:rPr>
      </w:pPr>
    </w:p>
    <w:p>
      <w:pPr>
        <w:pStyle w:val="11"/>
        <w:jc w:val="center"/>
        <w:rPr>
          <w:sz w:val="56"/>
          <w:szCs w:val="56"/>
        </w:rPr>
      </w:pPr>
    </w:p>
    <w:p>
      <w:pPr>
        <w:pStyle w:val="11"/>
        <w:jc w:val="center"/>
        <w:rPr>
          <w:sz w:val="84"/>
          <w:szCs w:val="84"/>
        </w:rPr>
      </w:pPr>
    </w:p>
    <w:p>
      <w:pPr>
        <w:pStyle w:val="11"/>
        <w:jc w:val="center"/>
        <w:rPr>
          <w:sz w:val="84"/>
          <w:szCs w:val="84"/>
        </w:rPr>
      </w:pPr>
      <w:r>
        <w:rPr>
          <w:rFonts w:hint="eastAsia"/>
          <w:sz w:val="84"/>
          <w:szCs w:val="84"/>
        </w:rPr>
        <w:t>2019年度</w:t>
      </w:r>
    </w:p>
    <w:p>
      <w:pPr>
        <w:pStyle w:val="11"/>
        <w:jc w:val="center"/>
        <w:rPr>
          <w:sz w:val="84"/>
          <w:szCs w:val="84"/>
        </w:rPr>
      </w:pPr>
      <w:r>
        <w:rPr>
          <w:rFonts w:hint="eastAsia"/>
          <w:sz w:val="84"/>
          <w:szCs w:val="84"/>
        </w:rPr>
        <w:t>鹤城区城市管理和综合执法局</w:t>
      </w:r>
    </w:p>
    <w:p>
      <w:pPr>
        <w:pStyle w:val="11"/>
        <w:jc w:val="center"/>
        <w:rPr>
          <w:sz w:val="84"/>
          <w:szCs w:val="84"/>
        </w:rPr>
      </w:pPr>
      <w:r>
        <w:rPr>
          <w:rFonts w:hint="eastAsia"/>
          <w:sz w:val="84"/>
          <w:szCs w:val="84"/>
        </w:rPr>
        <w:t>单位部门决算</w:t>
      </w:r>
    </w:p>
    <w:p>
      <w:pPr>
        <w:pStyle w:val="11"/>
        <w:jc w:val="center"/>
        <w:rPr>
          <w:sz w:val="56"/>
          <w:szCs w:val="56"/>
        </w:rPr>
      </w:pPr>
    </w:p>
    <w:p>
      <w:pPr>
        <w:pStyle w:val="11"/>
        <w:jc w:val="center"/>
        <w:rPr>
          <w:sz w:val="56"/>
          <w:szCs w:val="56"/>
        </w:rPr>
      </w:pPr>
    </w:p>
    <w:p>
      <w:pPr>
        <w:pStyle w:val="11"/>
        <w:jc w:val="center"/>
        <w:rPr>
          <w:sz w:val="56"/>
          <w:szCs w:val="56"/>
        </w:rPr>
      </w:pPr>
    </w:p>
    <w:p>
      <w:pPr>
        <w:pStyle w:val="11"/>
        <w:spacing w:line="540" w:lineRule="exact"/>
        <w:jc w:val="center"/>
        <w:rPr>
          <w:sz w:val="56"/>
          <w:szCs w:val="56"/>
        </w:rPr>
      </w:pPr>
    </w:p>
    <w:p>
      <w:pPr>
        <w:pStyle w:val="11"/>
        <w:spacing w:line="520" w:lineRule="exact"/>
        <w:jc w:val="center"/>
        <w:rPr>
          <w:sz w:val="56"/>
          <w:szCs w:val="56"/>
        </w:rPr>
      </w:pPr>
      <w:r>
        <w:rPr>
          <w:rFonts w:hint="eastAsia"/>
          <w:sz w:val="56"/>
          <w:szCs w:val="56"/>
        </w:rPr>
        <w:t>目录</w:t>
      </w:r>
    </w:p>
    <w:p>
      <w:pPr>
        <w:pStyle w:val="11"/>
        <w:spacing w:line="520" w:lineRule="exact"/>
        <w:rPr>
          <w:rFonts w:ascii="仿宋_GB2312" w:hAnsi="仿宋_GB2312" w:cs="仿宋_GB2312"/>
          <w:b/>
          <w:sz w:val="28"/>
          <w:szCs w:val="28"/>
        </w:rPr>
      </w:pPr>
      <w:r>
        <w:rPr>
          <w:rFonts w:hint="eastAsia"/>
          <w:b/>
          <w:sz w:val="28"/>
          <w:szCs w:val="28"/>
        </w:rPr>
        <w:t>第一部分执法局单位概况</w:t>
      </w:r>
    </w:p>
    <w:p>
      <w:pPr>
        <w:pStyle w:val="11"/>
        <w:spacing w:line="520" w:lineRule="exact"/>
        <w:ind w:firstLine="700" w:firstLineChars="250"/>
        <w:rPr>
          <w:rFonts w:ascii="宋体" w:hAnsi="宋体" w:eastAsia="宋体" w:cs="仿宋_GB2312"/>
          <w:sz w:val="28"/>
          <w:szCs w:val="28"/>
        </w:rPr>
      </w:pPr>
      <w:r>
        <w:rPr>
          <w:rFonts w:ascii="宋体" w:hAnsi="宋体" w:eastAsia="宋体" w:cs="仿宋_GB2312"/>
          <w:sz w:val="28"/>
          <w:szCs w:val="28"/>
        </w:rPr>
        <w:t>一、部门职责</w:t>
      </w:r>
    </w:p>
    <w:p>
      <w:pPr>
        <w:pStyle w:val="11"/>
        <w:spacing w:line="520" w:lineRule="exact"/>
        <w:ind w:firstLine="700" w:firstLineChars="250"/>
        <w:rPr>
          <w:rFonts w:ascii="宋体" w:hAnsi="宋体" w:eastAsia="宋体" w:cs="仿宋_GB2312"/>
          <w:sz w:val="28"/>
          <w:szCs w:val="28"/>
        </w:rPr>
      </w:pPr>
      <w:r>
        <w:rPr>
          <w:rFonts w:ascii="宋体" w:hAnsi="宋体" w:eastAsia="宋体" w:cs="仿宋_GB2312"/>
          <w:sz w:val="28"/>
          <w:szCs w:val="28"/>
        </w:rPr>
        <w:t>二、机构设置</w:t>
      </w:r>
    </w:p>
    <w:p>
      <w:pPr>
        <w:pStyle w:val="11"/>
        <w:spacing w:line="520" w:lineRule="exact"/>
        <w:rPr>
          <w:rFonts w:ascii="仿宋_GB2312" w:hAnsi="仿宋_GB2312" w:cs="仿宋_GB2312"/>
          <w:b/>
          <w:sz w:val="28"/>
          <w:szCs w:val="28"/>
        </w:rPr>
      </w:pPr>
      <w:r>
        <w:rPr>
          <w:rFonts w:hint="eastAsia" w:hAnsi="仿宋_GB2312"/>
          <w:b/>
          <w:sz w:val="28"/>
          <w:szCs w:val="28"/>
        </w:rPr>
        <w:t>第二部分</w:t>
      </w:r>
      <w:r>
        <w:rPr>
          <w:rFonts w:hAnsi="仿宋_GB2312"/>
          <w:b/>
          <w:sz w:val="28"/>
          <w:szCs w:val="28"/>
        </w:rPr>
        <w:t>2019</w:t>
      </w:r>
      <w:r>
        <w:rPr>
          <w:rFonts w:hint="eastAsia" w:hAnsi="仿宋_GB2312"/>
          <w:b/>
          <w:sz w:val="28"/>
          <w:szCs w:val="28"/>
        </w:rPr>
        <w:t>年度部门决算表</w:t>
      </w:r>
    </w:p>
    <w:p>
      <w:pPr>
        <w:pStyle w:val="11"/>
        <w:spacing w:line="520" w:lineRule="exact"/>
        <w:ind w:firstLine="700" w:firstLineChars="250"/>
        <w:rPr>
          <w:rFonts w:ascii="宋体" w:hAnsi="宋体" w:eastAsia="宋体" w:cs="仿宋_GB2312"/>
          <w:sz w:val="28"/>
          <w:szCs w:val="28"/>
        </w:rPr>
      </w:pPr>
      <w:r>
        <w:rPr>
          <w:rFonts w:ascii="宋体" w:hAnsi="宋体" w:eastAsia="宋体" w:cs="仿宋_GB2312"/>
          <w:sz w:val="28"/>
          <w:szCs w:val="28"/>
        </w:rPr>
        <w:t>一、收入支出决算总表</w:t>
      </w:r>
    </w:p>
    <w:p>
      <w:pPr>
        <w:pStyle w:val="11"/>
        <w:spacing w:line="520" w:lineRule="exact"/>
        <w:ind w:firstLine="700" w:firstLineChars="250"/>
        <w:rPr>
          <w:rFonts w:ascii="宋体" w:hAnsi="宋体" w:eastAsia="宋体" w:cs="仿宋_GB2312"/>
          <w:sz w:val="28"/>
          <w:szCs w:val="28"/>
        </w:rPr>
      </w:pPr>
      <w:r>
        <w:rPr>
          <w:rFonts w:ascii="宋体" w:hAnsi="宋体" w:eastAsia="宋体" w:cs="仿宋_GB2312"/>
          <w:sz w:val="28"/>
          <w:szCs w:val="28"/>
        </w:rPr>
        <w:t>二、收入决算表</w:t>
      </w:r>
    </w:p>
    <w:p>
      <w:pPr>
        <w:pStyle w:val="11"/>
        <w:spacing w:line="520" w:lineRule="exact"/>
        <w:ind w:firstLine="700" w:firstLineChars="250"/>
        <w:rPr>
          <w:rFonts w:ascii="宋体" w:hAnsi="宋体" w:eastAsia="宋体" w:cs="仿宋_GB2312"/>
          <w:sz w:val="28"/>
          <w:szCs w:val="28"/>
        </w:rPr>
      </w:pPr>
      <w:r>
        <w:rPr>
          <w:rFonts w:ascii="宋体" w:hAnsi="宋体" w:eastAsia="宋体" w:cs="仿宋_GB2312"/>
          <w:sz w:val="28"/>
          <w:szCs w:val="28"/>
        </w:rPr>
        <w:t>三、支出决算表</w:t>
      </w:r>
    </w:p>
    <w:p>
      <w:pPr>
        <w:pStyle w:val="11"/>
        <w:spacing w:line="520" w:lineRule="exact"/>
        <w:ind w:firstLine="700" w:firstLineChars="250"/>
        <w:rPr>
          <w:rFonts w:ascii="宋体" w:hAnsi="宋体" w:eastAsia="宋体" w:cs="仿宋_GB2312"/>
          <w:sz w:val="28"/>
          <w:szCs w:val="28"/>
        </w:rPr>
      </w:pPr>
      <w:r>
        <w:rPr>
          <w:rFonts w:ascii="宋体" w:hAnsi="宋体" w:eastAsia="宋体" w:cs="仿宋_GB2312"/>
          <w:sz w:val="28"/>
          <w:szCs w:val="28"/>
        </w:rPr>
        <w:t>四、财政拨款收入支出决算总表</w:t>
      </w:r>
    </w:p>
    <w:p>
      <w:pPr>
        <w:pStyle w:val="11"/>
        <w:spacing w:line="520" w:lineRule="exact"/>
        <w:ind w:firstLine="700" w:firstLineChars="250"/>
        <w:rPr>
          <w:rFonts w:ascii="宋体" w:hAnsi="宋体" w:eastAsia="宋体" w:cs="仿宋_GB2312"/>
          <w:sz w:val="28"/>
          <w:szCs w:val="28"/>
        </w:rPr>
      </w:pPr>
      <w:r>
        <w:rPr>
          <w:rFonts w:ascii="宋体" w:hAnsi="宋体" w:eastAsia="宋体" w:cs="仿宋_GB2312"/>
          <w:sz w:val="28"/>
          <w:szCs w:val="28"/>
        </w:rPr>
        <w:t>五、一般公共预算财政拨款支出决算表</w:t>
      </w:r>
    </w:p>
    <w:p>
      <w:pPr>
        <w:pStyle w:val="11"/>
        <w:spacing w:line="520" w:lineRule="exact"/>
        <w:ind w:firstLine="700" w:firstLineChars="250"/>
        <w:rPr>
          <w:rFonts w:ascii="宋体" w:hAnsi="宋体" w:eastAsia="宋体" w:cs="仿宋_GB2312"/>
          <w:sz w:val="28"/>
          <w:szCs w:val="28"/>
        </w:rPr>
      </w:pPr>
      <w:r>
        <w:rPr>
          <w:rFonts w:ascii="宋体" w:hAnsi="宋体" w:eastAsia="宋体" w:cs="仿宋_GB2312"/>
          <w:sz w:val="28"/>
          <w:szCs w:val="28"/>
        </w:rPr>
        <w:t>六、一般公共预算财政拨款基本支出决算表</w:t>
      </w:r>
    </w:p>
    <w:p>
      <w:pPr>
        <w:pStyle w:val="11"/>
        <w:spacing w:line="520" w:lineRule="exact"/>
        <w:ind w:firstLine="700" w:firstLineChars="250"/>
        <w:rPr>
          <w:rFonts w:ascii="宋体" w:hAnsi="宋体" w:eastAsia="宋体" w:cs="仿宋_GB2312"/>
          <w:sz w:val="28"/>
          <w:szCs w:val="28"/>
        </w:rPr>
      </w:pPr>
      <w:r>
        <w:rPr>
          <w:rFonts w:ascii="宋体" w:hAnsi="宋体" w:eastAsia="宋体" w:cs="仿宋_GB2312"/>
          <w:sz w:val="28"/>
          <w:szCs w:val="28"/>
        </w:rPr>
        <w:t>七、一般公共预算财政拨款“三公”经费支出决算表</w:t>
      </w:r>
    </w:p>
    <w:p>
      <w:pPr>
        <w:pStyle w:val="11"/>
        <w:spacing w:line="520" w:lineRule="exact"/>
        <w:ind w:firstLine="700" w:firstLineChars="250"/>
        <w:rPr>
          <w:rFonts w:ascii="宋体" w:hAnsi="宋体" w:eastAsia="宋体" w:cs="仿宋_GB2312"/>
          <w:sz w:val="28"/>
          <w:szCs w:val="28"/>
        </w:rPr>
      </w:pPr>
      <w:r>
        <w:rPr>
          <w:rFonts w:ascii="宋体" w:hAnsi="宋体" w:eastAsia="宋体" w:cs="仿宋_GB2312"/>
          <w:sz w:val="28"/>
          <w:szCs w:val="28"/>
        </w:rPr>
        <w:t>八、政府性基金预算财政拨款收入支出决算表</w:t>
      </w:r>
    </w:p>
    <w:p>
      <w:pPr>
        <w:pStyle w:val="11"/>
        <w:spacing w:line="520" w:lineRule="exact"/>
        <w:rPr>
          <w:rFonts w:ascii="仿宋_GB2312" w:hAnsi="仿宋_GB2312" w:cs="仿宋_GB2312"/>
          <w:b/>
          <w:sz w:val="28"/>
          <w:szCs w:val="28"/>
        </w:rPr>
      </w:pPr>
      <w:r>
        <w:rPr>
          <w:rFonts w:hint="eastAsia" w:hAnsi="仿宋_GB2312"/>
          <w:b/>
          <w:sz w:val="28"/>
          <w:szCs w:val="28"/>
        </w:rPr>
        <w:t>第三部分</w:t>
      </w:r>
      <w:r>
        <w:rPr>
          <w:rFonts w:hAnsi="仿宋_GB2312"/>
          <w:b/>
          <w:sz w:val="28"/>
          <w:szCs w:val="28"/>
        </w:rPr>
        <w:t>2019</w:t>
      </w:r>
      <w:r>
        <w:rPr>
          <w:rFonts w:hint="eastAsia" w:hAnsi="仿宋_GB2312"/>
          <w:b/>
          <w:sz w:val="28"/>
          <w:szCs w:val="28"/>
        </w:rPr>
        <w:t>年度部门决算情况说明</w:t>
      </w:r>
    </w:p>
    <w:p>
      <w:pPr>
        <w:pStyle w:val="11"/>
        <w:spacing w:line="520" w:lineRule="exact"/>
        <w:ind w:firstLine="700" w:firstLineChars="250"/>
        <w:rPr>
          <w:rFonts w:ascii="宋体" w:hAnsi="宋体" w:eastAsia="宋体" w:cs="仿宋_GB2312"/>
          <w:sz w:val="28"/>
          <w:szCs w:val="28"/>
        </w:rPr>
      </w:pPr>
      <w:r>
        <w:rPr>
          <w:rFonts w:ascii="宋体" w:hAnsi="宋体" w:eastAsia="宋体" w:cs="仿宋_GB2312"/>
          <w:sz w:val="28"/>
          <w:szCs w:val="28"/>
        </w:rPr>
        <w:t>一、收入支出决算总体情况说明</w:t>
      </w:r>
    </w:p>
    <w:p>
      <w:pPr>
        <w:spacing w:line="520" w:lineRule="exact"/>
        <w:ind w:firstLine="700" w:firstLineChars="250"/>
        <w:jc w:val="left"/>
        <w:rPr>
          <w:rFonts w:ascii="仿宋_GB2312" w:hAnsi="仿宋_GB2312" w:cs="仿宋_GB2312"/>
          <w:sz w:val="28"/>
          <w:szCs w:val="28"/>
        </w:rPr>
      </w:pPr>
      <w:r>
        <w:rPr>
          <w:rFonts w:ascii="仿宋_GB2312" w:hAnsi="仿宋_GB2312" w:cs="仿宋_GB2312"/>
          <w:sz w:val="28"/>
          <w:szCs w:val="28"/>
        </w:rPr>
        <w:t>二、收入决算情况说明</w:t>
      </w:r>
    </w:p>
    <w:p>
      <w:pPr>
        <w:autoSpaceDE w:val="0"/>
        <w:autoSpaceDN w:val="0"/>
        <w:adjustRightInd w:val="0"/>
        <w:spacing w:line="52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pPr>
        <w:autoSpaceDE w:val="0"/>
        <w:autoSpaceDN w:val="0"/>
        <w:adjustRightInd w:val="0"/>
        <w:spacing w:line="52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p>
    <w:p>
      <w:pPr>
        <w:autoSpaceDE w:val="0"/>
        <w:autoSpaceDN w:val="0"/>
        <w:adjustRightInd w:val="0"/>
        <w:spacing w:line="52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p>
    <w:p>
      <w:pPr>
        <w:autoSpaceDE w:val="0"/>
        <w:autoSpaceDN w:val="0"/>
        <w:adjustRightInd w:val="0"/>
        <w:spacing w:line="52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六、一般公共预算财政拨款基本支出决算情况说明</w:t>
      </w:r>
    </w:p>
    <w:p>
      <w:pPr>
        <w:autoSpaceDE w:val="0"/>
        <w:autoSpaceDN w:val="0"/>
        <w:adjustRightInd w:val="0"/>
        <w:spacing w:line="52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七、一般公共预算财政拨款三公经费支出决算情况说明</w:t>
      </w:r>
    </w:p>
    <w:p>
      <w:pPr>
        <w:autoSpaceDE w:val="0"/>
        <w:autoSpaceDN w:val="0"/>
        <w:adjustRightInd w:val="0"/>
        <w:spacing w:line="52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八</w:t>
      </w:r>
      <w:r>
        <w:rPr>
          <w:rFonts w:ascii="仿宋_GB2312" w:hAnsi="仿宋_GB2312" w:cs="仿宋_GB2312"/>
          <w:color w:val="000000"/>
          <w:kern w:val="0"/>
          <w:sz w:val="28"/>
          <w:szCs w:val="28"/>
        </w:rPr>
        <w:t>、</w:t>
      </w:r>
      <w:r>
        <w:rPr>
          <w:rFonts w:hint="eastAsia" w:ascii="仿宋_GB2312" w:hAnsi="仿宋_GB2312" w:cs="仿宋_GB2312"/>
          <w:color w:val="000000"/>
          <w:kern w:val="0"/>
          <w:sz w:val="28"/>
          <w:szCs w:val="28"/>
        </w:rPr>
        <w:t>政府性基金预算收入支出决算情况</w:t>
      </w:r>
    </w:p>
    <w:p>
      <w:pPr>
        <w:autoSpaceDE w:val="0"/>
        <w:autoSpaceDN w:val="0"/>
        <w:adjustRightInd w:val="0"/>
        <w:spacing w:line="52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九</w:t>
      </w:r>
      <w:r>
        <w:rPr>
          <w:rFonts w:ascii="仿宋_GB2312" w:hAnsi="仿宋_GB2312" w:cs="仿宋_GB2312"/>
          <w:color w:val="000000"/>
          <w:kern w:val="0"/>
          <w:sz w:val="28"/>
          <w:szCs w:val="28"/>
        </w:rPr>
        <w:t>、预算绩效情况说明</w:t>
      </w:r>
    </w:p>
    <w:p>
      <w:pPr>
        <w:autoSpaceDE w:val="0"/>
        <w:autoSpaceDN w:val="0"/>
        <w:adjustRightInd w:val="0"/>
        <w:spacing w:line="52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w:t>
      </w:r>
      <w:r>
        <w:rPr>
          <w:rFonts w:ascii="仿宋_GB2312" w:hAnsi="仿宋_GB2312" w:cs="仿宋_GB2312"/>
          <w:color w:val="000000"/>
          <w:kern w:val="0"/>
          <w:sz w:val="28"/>
          <w:szCs w:val="28"/>
        </w:rPr>
        <w:t>、其他重要事项情况说明</w:t>
      </w:r>
    </w:p>
    <w:p>
      <w:pPr>
        <w:autoSpaceDE w:val="0"/>
        <w:autoSpaceDN w:val="0"/>
        <w:adjustRightInd w:val="0"/>
        <w:spacing w:line="520" w:lineRule="exact"/>
        <w:jc w:val="left"/>
        <w:rPr>
          <w:rFonts w:ascii="黑体" w:hAnsi="黑体" w:eastAsia="黑体" w:cs="仿宋_GB2312"/>
          <w:b/>
          <w:color w:val="000000"/>
          <w:kern w:val="0"/>
          <w:sz w:val="28"/>
          <w:szCs w:val="28"/>
        </w:rPr>
      </w:pPr>
      <w:r>
        <w:rPr>
          <w:rFonts w:ascii="黑体" w:hAnsi="黑体" w:eastAsia="黑体" w:cs="黑体"/>
          <w:b/>
          <w:color w:val="000000"/>
          <w:kern w:val="0"/>
          <w:sz w:val="28"/>
          <w:szCs w:val="28"/>
        </w:rPr>
        <w:t>第四部分名词解释</w:t>
      </w:r>
    </w:p>
    <w:p>
      <w:pPr>
        <w:spacing w:line="520" w:lineRule="exact"/>
        <w:jc w:val="left"/>
        <w:rPr>
          <w:rFonts w:ascii="黑体" w:hAnsi="黑体" w:eastAsia="黑体" w:cs="仿宋_GB2312"/>
          <w:b/>
          <w:color w:val="000000"/>
          <w:kern w:val="0"/>
          <w:sz w:val="28"/>
          <w:szCs w:val="28"/>
        </w:rPr>
      </w:pPr>
      <w:r>
        <w:rPr>
          <w:rFonts w:ascii="黑体" w:hAnsi="黑体" w:eastAsia="黑体" w:cs="黑体"/>
          <w:b/>
          <w:color w:val="000000"/>
          <w:kern w:val="0"/>
          <w:sz w:val="28"/>
          <w:szCs w:val="28"/>
        </w:rPr>
        <w:t>第五部分附件</w:t>
      </w:r>
    </w:p>
    <w:p>
      <w:pPr>
        <w:jc w:val="center"/>
        <w:rPr>
          <w:sz w:val="72"/>
          <w:szCs w:val="72"/>
        </w:rPr>
      </w:pPr>
    </w:p>
    <w:p>
      <w:pPr>
        <w:jc w:val="center"/>
        <w:rPr>
          <w:sz w:val="72"/>
          <w:szCs w:val="72"/>
        </w:rPr>
      </w:pPr>
    </w:p>
    <w:p>
      <w:pPr>
        <w:jc w:val="center"/>
        <w:rPr>
          <w:sz w:val="72"/>
          <w:szCs w:val="72"/>
        </w:rPr>
      </w:pPr>
    </w:p>
    <w:p>
      <w:pPr>
        <w:jc w:val="center"/>
        <w:rPr>
          <w:sz w:val="72"/>
          <w:szCs w:val="72"/>
        </w:rPr>
      </w:pPr>
    </w:p>
    <w:p>
      <w:pPr>
        <w:rPr>
          <w:sz w:val="72"/>
          <w:szCs w:val="72"/>
        </w:rPr>
      </w:pPr>
    </w:p>
    <w:p>
      <w:pPr>
        <w:pStyle w:val="11"/>
        <w:jc w:val="center"/>
        <w:rPr>
          <w:sz w:val="84"/>
          <w:szCs w:val="84"/>
        </w:rPr>
      </w:pPr>
    </w:p>
    <w:p>
      <w:pPr>
        <w:pStyle w:val="11"/>
        <w:jc w:val="center"/>
        <w:rPr>
          <w:sz w:val="84"/>
          <w:szCs w:val="84"/>
        </w:rPr>
      </w:pPr>
    </w:p>
    <w:p>
      <w:pPr>
        <w:pStyle w:val="11"/>
        <w:jc w:val="center"/>
        <w:rPr>
          <w:sz w:val="84"/>
          <w:szCs w:val="84"/>
        </w:rPr>
      </w:pPr>
    </w:p>
    <w:p>
      <w:pPr>
        <w:pStyle w:val="11"/>
        <w:jc w:val="center"/>
        <w:rPr>
          <w:sz w:val="84"/>
          <w:szCs w:val="84"/>
        </w:rPr>
      </w:pPr>
      <w:r>
        <w:rPr>
          <w:rFonts w:hint="eastAsia"/>
          <w:sz w:val="84"/>
          <w:szCs w:val="84"/>
        </w:rPr>
        <w:t>第一部分</w:t>
      </w:r>
    </w:p>
    <w:p>
      <w:pPr>
        <w:pStyle w:val="11"/>
        <w:jc w:val="center"/>
        <w:rPr>
          <w:sz w:val="84"/>
          <w:szCs w:val="84"/>
        </w:rPr>
      </w:pPr>
    </w:p>
    <w:p>
      <w:pPr>
        <w:pStyle w:val="11"/>
        <w:jc w:val="center"/>
        <w:rPr>
          <w:sz w:val="84"/>
          <w:szCs w:val="84"/>
        </w:rPr>
      </w:pPr>
      <w:r>
        <w:rPr>
          <w:rFonts w:hint="eastAsia"/>
          <w:sz w:val="84"/>
          <w:szCs w:val="84"/>
        </w:rPr>
        <w:t>鹤城区城市管理和综合执法局</w:t>
      </w:r>
    </w:p>
    <w:p>
      <w:pPr>
        <w:pStyle w:val="11"/>
        <w:jc w:val="center"/>
        <w:rPr>
          <w:sz w:val="84"/>
          <w:szCs w:val="84"/>
        </w:rPr>
      </w:pPr>
      <w:r>
        <w:rPr>
          <w:rFonts w:hint="eastAsia"/>
          <w:sz w:val="84"/>
          <w:szCs w:val="84"/>
        </w:rPr>
        <w:t>单位概况</w:t>
      </w:r>
    </w:p>
    <w:p>
      <w:pPr>
        <w:jc w:val="center"/>
        <w:rPr>
          <w:sz w:val="72"/>
          <w:szCs w:val="72"/>
        </w:rPr>
      </w:pPr>
    </w:p>
    <w:p>
      <w:pPr>
        <w:jc w:val="center"/>
        <w:rPr>
          <w:sz w:val="72"/>
          <w:szCs w:val="72"/>
        </w:rPr>
      </w:pPr>
    </w:p>
    <w:p>
      <w:pPr>
        <w:jc w:val="center"/>
        <w:rPr>
          <w:sz w:val="72"/>
          <w:szCs w:val="72"/>
        </w:rPr>
      </w:pPr>
    </w:p>
    <w:p>
      <w:pPr>
        <w:jc w:val="center"/>
        <w:rPr>
          <w:sz w:val="72"/>
          <w:szCs w:val="72"/>
        </w:rPr>
      </w:pPr>
    </w:p>
    <w:p>
      <w:pPr>
        <w:pStyle w:val="10"/>
        <w:numPr>
          <w:ilvl w:val="0"/>
          <w:numId w:val="1"/>
        </w:numPr>
        <w:ind w:firstLineChars="0"/>
        <w:jc w:val="left"/>
        <w:rPr>
          <w:rFonts w:ascii="黑体" w:hAnsi="黑体" w:eastAsia="黑体"/>
          <w:sz w:val="32"/>
          <w:szCs w:val="32"/>
        </w:rPr>
      </w:pPr>
      <w:r>
        <w:rPr>
          <w:rFonts w:ascii="黑体" w:hAnsi="黑体" w:eastAsia="黑体"/>
          <w:sz w:val="32"/>
          <w:szCs w:val="32"/>
        </w:rPr>
        <w:t>部门职责</w:t>
      </w:r>
    </w:p>
    <w:p>
      <w:pPr>
        <w:spacing w:line="540" w:lineRule="exact"/>
        <w:ind w:firstLine="480" w:firstLineChars="150"/>
        <w:rPr>
          <w:rFonts w:ascii="宋体" w:hAnsi="宋体"/>
          <w:bCs/>
          <w:kern w:val="0"/>
          <w:sz w:val="32"/>
          <w:szCs w:val="32"/>
        </w:rPr>
      </w:pPr>
      <w:r>
        <w:rPr>
          <w:rFonts w:hint="eastAsia" w:ascii="宋体" w:hAnsi="宋体"/>
          <w:bCs/>
          <w:kern w:val="0"/>
          <w:sz w:val="32"/>
          <w:szCs w:val="32"/>
        </w:rPr>
        <w:t>（1）贯彻执行国家、省、市、区关于城市管理和行政执法方面的法律、法规、规章和政策，行使有关行政处罚权。</w:t>
      </w:r>
    </w:p>
    <w:p>
      <w:pPr>
        <w:spacing w:line="540" w:lineRule="exact"/>
        <w:ind w:firstLine="480" w:firstLineChars="150"/>
        <w:rPr>
          <w:rFonts w:ascii="宋体" w:hAnsi="宋体"/>
          <w:bCs/>
          <w:kern w:val="0"/>
          <w:sz w:val="32"/>
          <w:szCs w:val="32"/>
        </w:rPr>
      </w:pPr>
      <w:r>
        <w:rPr>
          <w:rFonts w:hint="eastAsia" w:ascii="宋体" w:hAnsi="宋体"/>
          <w:bCs/>
          <w:kern w:val="0"/>
          <w:sz w:val="32"/>
          <w:szCs w:val="32"/>
        </w:rPr>
        <w:t>（2）负责制定鹤城区城市管理和行政执法发展战略、中长期规划，经批准后组织实施。</w:t>
      </w:r>
    </w:p>
    <w:p>
      <w:pPr>
        <w:spacing w:line="540" w:lineRule="exact"/>
        <w:ind w:firstLine="480" w:firstLineChars="150"/>
        <w:rPr>
          <w:rFonts w:ascii="宋体" w:hAnsi="宋体"/>
          <w:bCs/>
          <w:kern w:val="0"/>
          <w:sz w:val="32"/>
          <w:szCs w:val="32"/>
        </w:rPr>
      </w:pPr>
      <w:r>
        <w:rPr>
          <w:rFonts w:hint="eastAsia" w:ascii="宋体" w:hAnsi="宋体"/>
          <w:bCs/>
          <w:kern w:val="0"/>
          <w:sz w:val="32"/>
          <w:szCs w:val="32"/>
        </w:rPr>
        <w:t>（3）负责全区城市管理和行政执法工作；指导、监督、检查街道（乡）城市管理和行政执法工作，建立健全行政执法奖惩责任机制和过错追究机制。</w:t>
      </w:r>
    </w:p>
    <w:p>
      <w:pPr>
        <w:spacing w:line="540" w:lineRule="exact"/>
        <w:ind w:firstLine="480" w:firstLineChars="150"/>
        <w:rPr>
          <w:rFonts w:ascii="宋体" w:hAnsi="宋体"/>
          <w:bCs/>
          <w:kern w:val="0"/>
          <w:sz w:val="32"/>
          <w:szCs w:val="32"/>
        </w:rPr>
      </w:pPr>
      <w:r>
        <w:rPr>
          <w:rFonts w:hint="eastAsia" w:ascii="宋体" w:hAnsi="宋体"/>
          <w:bCs/>
          <w:kern w:val="0"/>
          <w:sz w:val="32"/>
          <w:szCs w:val="32"/>
        </w:rPr>
        <w:t>（4）负责组织全区城管执法人员的业务培训、考试和有关执法资格的审查认定。</w:t>
      </w:r>
    </w:p>
    <w:p>
      <w:pPr>
        <w:spacing w:line="540" w:lineRule="exact"/>
        <w:ind w:firstLine="480" w:firstLineChars="150"/>
        <w:rPr>
          <w:rFonts w:ascii="宋体" w:hAnsi="宋体"/>
          <w:bCs/>
          <w:kern w:val="0"/>
          <w:sz w:val="32"/>
          <w:szCs w:val="32"/>
        </w:rPr>
      </w:pPr>
      <w:r>
        <w:rPr>
          <w:rFonts w:hint="eastAsia" w:ascii="宋体" w:hAnsi="宋体"/>
          <w:bCs/>
          <w:kern w:val="0"/>
          <w:sz w:val="32"/>
          <w:szCs w:val="32"/>
        </w:rPr>
        <w:t>（5）负责配合数字化城市管理系统建设管理工作，建立健全全区城管执法信息系统；负责组织全区城管执法方面的宣传工作，负责城管执法网络建设管理和网络舆情监管工作。</w:t>
      </w:r>
    </w:p>
    <w:p>
      <w:pPr>
        <w:spacing w:line="540" w:lineRule="exact"/>
        <w:ind w:firstLine="480" w:firstLineChars="150"/>
        <w:rPr>
          <w:rFonts w:ascii="宋体" w:hAnsi="宋体"/>
          <w:bCs/>
          <w:kern w:val="0"/>
          <w:sz w:val="32"/>
          <w:szCs w:val="32"/>
        </w:rPr>
      </w:pPr>
      <w:r>
        <w:rPr>
          <w:rFonts w:hint="eastAsia" w:ascii="宋体" w:hAnsi="宋体"/>
          <w:bCs/>
          <w:kern w:val="0"/>
          <w:sz w:val="32"/>
          <w:szCs w:val="32"/>
        </w:rPr>
        <w:t>（6）负责辖区内城市管理和行政执法工作的具体落实，负责具体实施城市管理专项活动、重大执法活动、综合整治活动；负责建立健全综合协调机制，组织协调驻区单位落实城市管理责任。</w:t>
      </w:r>
    </w:p>
    <w:p>
      <w:pPr>
        <w:spacing w:line="540" w:lineRule="exact"/>
        <w:ind w:firstLine="480" w:firstLineChars="150"/>
        <w:rPr>
          <w:rFonts w:ascii="宋体" w:hAnsi="宋体"/>
          <w:bCs/>
          <w:kern w:val="0"/>
          <w:sz w:val="32"/>
          <w:szCs w:val="32"/>
        </w:rPr>
      </w:pPr>
      <w:r>
        <w:rPr>
          <w:rFonts w:hint="eastAsia" w:ascii="宋体" w:hAnsi="宋体"/>
          <w:bCs/>
          <w:kern w:val="0"/>
          <w:sz w:val="32"/>
          <w:szCs w:val="32"/>
        </w:rPr>
        <w:t>（7）负责受理全区有关城管执法方面的群众来电来信来访和相关部门转办投诉件工作，负责监督检查各街道（乡）城管执法部门和直属执法机构对群众投诉件的办理情况。</w:t>
      </w:r>
    </w:p>
    <w:p>
      <w:pPr>
        <w:spacing w:line="540" w:lineRule="exact"/>
        <w:ind w:firstLine="480" w:firstLineChars="150"/>
        <w:rPr>
          <w:rFonts w:ascii="宋体" w:hAnsi="宋体"/>
          <w:bCs/>
          <w:kern w:val="0"/>
          <w:sz w:val="32"/>
          <w:szCs w:val="32"/>
        </w:rPr>
      </w:pPr>
      <w:r>
        <w:rPr>
          <w:rFonts w:hint="eastAsia" w:ascii="宋体" w:hAnsi="宋体"/>
          <w:bCs/>
          <w:kern w:val="0"/>
          <w:sz w:val="32"/>
          <w:szCs w:val="32"/>
        </w:rPr>
        <w:t>（8）负责全区城管执法队伍行风政风建设工作，加强城管执法队伍正规化建设。</w:t>
      </w:r>
    </w:p>
    <w:p>
      <w:pPr>
        <w:spacing w:line="540" w:lineRule="exact"/>
        <w:ind w:firstLine="480" w:firstLineChars="150"/>
        <w:rPr>
          <w:rFonts w:ascii="宋体" w:hAnsi="宋体"/>
          <w:bCs/>
          <w:kern w:val="0"/>
          <w:sz w:val="32"/>
          <w:szCs w:val="32"/>
        </w:rPr>
      </w:pPr>
      <w:r>
        <w:rPr>
          <w:rFonts w:hint="eastAsia" w:ascii="宋体" w:hAnsi="宋体"/>
          <w:bCs/>
          <w:kern w:val="0"/>
          <w:sz w:val="32"/>
          <w:szCs w:val="32"/>
        </w:rPr>
        <w:t>（9）负责制定全区城管执法工作规范、行政处罚自由裁量权执行标准、执法文书格式，对全区城管执法案件规范办理情况进行监督检查。</w:t>
      </w:r>
    </w:p>
    <w:p>
      <w:pPr>
        <w:spacing w:line="540" w:lineRule="exact"/>
        <w:ind w:firstLine="480" w:firstLineChars="150"/>
        <w:rPr>
          <w:rFonts w:ascii="宋体" w:hAnsi="宋体"/>
          <w:bCs/>
          <w:kern w:val="0"/>
          <w:sz w:val="32"/>
          <w:szCs w:val="32"/>
        </w:rPr>
      </w:pPr>
      <w:r>
        <w:rPr>
          <w:rFonts w:hint="eastAsia" w:ascii="宋体" w:hAnsi="宋体"/>
          <w:bCs/>
          <w:kern w:val="0"/>
          <w:sz w:val="32"/>
          <w:szCs w:val="32"/>
        </w:rPr>
        <w:t>（10）行使市容环境卫生管理方面法律、法规、规章规定的行政处罚权，强制拆除不符合城市容貌标准、环境卫生标准的建筑物或者设施。</w:t>
      </w:r>
    </w:p>
    <w:p>
      <w:pPr>
        <w:spacing w:line="540" w:lineRule="exact"/>
        <w:ind w:firstLine="480" w:firstLineChars="150"/>
        <w:rPr>
          <w:rFonts w:ascii="宋体" w:hAnsi="宋体"/>
          <w:bCs/>
          <w:kern w:val="0"/>
          <w:sz w:val="32"/>
          <w:szCs w:val="32"/>
        </w:rPr>
      </w:pPr>
      <w:r>
        <w:rPr>
          <w:rFonts w:hint="eastAsia" w:ascii="宋体" w:hAnsi="宋体"/>
          <w:bCs/>
          <w:kern w:val="0"/>
          <w:sz w:val="32"/>
          <w:szCs w:val="32"/>
        </w:rPr>
        <w:t>（11）行使城市规划方面法律、法规、规章规定的对在城市规划区内，未取得建设工程规划许可证或者违反建设工程规划许可证的规定进行建设，影响及严重影响城市规划的行为的行政处罚权；对在城市规划区内进行临时建设，逾期不拆除，以及在批准临时使用的土地上建设永久性建筑物、构筑物和其他设施的行为的行政处罚权。</w:t>
      </w:r>
    </w:p>
    <w:p>
      <w:pPr>
        <w:spacing w:line="540" w:lineRule="exact"/>
        <w:ind w:firstLine="480" w:firstLineChars="150"/>
        <w:rPr>
          <w:rFonts w:ascii="宋体" w:hAnsi="宋体"/>
          <w:bCs/>
          <w:kern w:val="0"/>
          <w:sz w:val="32"/>
          <w:szCs w:val="32"/>
        </w:rPr>
      </w:pPr>
      <w:r>
        <w:rPr>
          <w:rFonts w:hint="eastAsia" w:ascii="宋体" w:hAnsi="宋体"/>
          <w:bCs/>
          <w:kern w:val="0"/>
          <w:sz w:val="32"/>
          <w:szCs w:val="32"/>
        </w:rPr>
        <w:t>（12）行使市政管理方面法律、法规、规章规定的行政处罚权。包括设置报刊电话亭，门店占道装修，非机动车停放点，占道洗车、修车、汽车美容、废品收购等。</w:t>
      </w:r>
    </w:p>
    <w:p>
      <w:pPr>
        <w:spacing w:line="540" w:lineRule="exact"/>
        <w:ind w:firstLine="480" w:firstLineChars="150"/>
        <w:rPr>
          <w:rFonts w:ascii="宋体" w:hAnsi="宋体"/>
          <w:bCs/>
          <w:kern w:val="0"/>
          <w:sz w:val="32"/>
          <w:szCs w:val="32"/>
        </w:rPr>
      </w:pPr>
      <w:r>
        <w:rPr>
          <w:rFonts w:hint="eastAsia" w:ascii="宋体" w:hAnsi="宋体"/>
          <w:bCs/>
          <w:kern w:val="0"/>
          <w:sz w:val="32"/>
          <w:szCs w:val="32"/>
        </w:rPr>
        <w:t>（13）行使环境保护管理方面法律、法规、规章规定的在城市规划区内对社会生活、建筑施工噪声污染的行政处罚权；对饮食、服务行业排放的油烟、烟尘、异味对环境造成污染的行政处罚权。</w:t>
      </w:r>
    </w:p>
    <w:p>
      <w:pPr>
        <w:spacing w:line="540" w:lineRule="exact"/>
        <w:ind w:firstLine="480" w:firstLineChars="150"/>
        <w:rPr>
          <w:rFonts w:ascii="宋体" w:hAnsi="宋体"/>
          <w:bCs/>
          <w:kern w:val="0"/>
          <w:sz w:val="32"/>
          <w:szCs w:val="32"/>
        </w:rPr>
      </w:pPr>
      <w:r>
        <w:rPr>
          <w:rFonts w:hint="eastAsia" w:ascii="宋体" w:hAnsi="宋体"/>
          <w:bCs/>
          <w:kern w:val="0"/>
          <w:sz w:val="32"/>
          <w:szCs w:val="32"/>
        </w:rPr>
        <w:t>（14）行使工商行政管理方面法律、法规、规章规定的对在市区广场、主次干道、小街小巷等公共场所经营的无照商贩和随意摆摊设点行为及经营户店外经营行为的行政处罚权，在涉嫌无照经营行为查处时，可以查封、扣押专门用于从事无照经营行为的工具设备、原材料、产（商）品；行使区政府批准的摊点群的管理权和行政处罚权；行使临时占用城市道路和城区公共场地的行政许可。</w:t>
      </w:r>
    </w:p>
    <w:p>
      <w:pPr>
        <w:spacing w:line="540" w:lineRule="exact"/>
        <w:ind w:firstLine="480" w:firstLineChars="150"/>
        <w:rPr>
          <w:rFonts w:ascii="宋体" w:hAnsi="宋体"/>
          <w:bCs/>
          <w:kern w:val="0"/>
          <w:sz w:val="32"/>
          <w:szCs w:val="32"/>
        </w:rPr>
      </w:pPr>
      <w:r>
        <w:rPr>
          <w:rFonts w:hint="eastAsia" w:ascii="宋体" w:hAnsi="宋体"/>
          <w:bCs/>
          <w:kern w:val="0"/>
          <w:sz w:val="32"/>
          <w:szCs w:val="32"/>
        </w:rPr>
        <w:t>（15）行使公安交通管理方面法律、法规、规章规定的对侵占道路行为的行政处罚权。对在人行道、背街小巷违章停放车辆、非机动车辆，驾驶员不在现场或者拒绝将车辆移走的，可以锁定机动车车轮或者将车辆拖至不妨碍交通的地点或指定地点。</w:t>
      </w:r>
    </w:p>
    <w:p>
      <w:pPr>
        <w:spacing w:line="540" w:lineRule="exact"/>
        <w:ind w:firstLine="480" w:firstLineChars="150"/>
        <w:rPr>
          <w:rFonts w:ascii="宋体" w:hAnsi="宋体"/>
          <w:bCs/>
          <w:kern w:val="0"/>
          <w:sz w:val="32"/>
          <w:szCs w:val="32"/>
        </w:rPr>
      </w:pPr>
      <w:r>
        <w:rPr>
          <w:rFonts w:hint="eastAsia" w:ascii="宋体" w:hAnsi="宋体"/>
          <w:bCs/>
          <w:kern w:val="0"/>
          <w:sz w:val="32"/>
          <w:szCs w:val="32"/>
        </w:rPr>
        <w:t>（16）行使工商行政管理、建设管理方面法律、法规、规章规定对小广告、“牛皮癣”、气球、拱门、气模等的管理权和未经批准擅自设置行为的行政处罚权。</w:t>
      </w:r>
    </w:p>
    <w:p>
      <w:pPr>
        <w:spacing w:line="540" w:lineRule="exact"/>
        <w:ind w:firstLine="480" w:firstLineChars="150"/>
        <w:rPr>
          <w:rFonts w:ascii="宋体" w:hAnsi="宋体"/>
          <w:bCs/>
          <w:kern w:val="0"/>
          <w:sz w:val="32"/>
          <w:szCs w:val="32"/>
        </w:rPr>
      </w:pPr>
      <w:r>
        <w:rPr>
          <w:rFonts w:hint="eastAsia" w:ascii="宋体" w:hAnsi="宋体"/>
          <w:bCs/>
          <w:kern w:val="0"/>
          <w:sz w:val="32"/>
          <w:szCs w:val="32"/>
        </w:rPr>
        <w:t>（17）归口管理鹤城区渣土管理办公室。</w:t>
      </w:r>
    </w:p>
    <w:p>
      <w:pPr>
        <w:spacing w:line="540" w:lineRule="exact"/>
        <w:ind w:firstLine="480" w:firstLineChars="150"/>
        <w:rPr>
          <w:rFonts w:ascii="宋体" w:hAnsi="宋体"/>
          <w:bCs/>
          <w:kern w:val="0"/>
          <w:sz w:val="32"/>
          <w:szCs w:val="32"/>
        </w:rPr>
      </w:pPr>
      <w:r>
        <w:rPr>
          <w:rFonts w:hint="eastAsia" w:ascii="宋体" w:hAnsi="宋体"/>
          <w:bCs/>
          <w:kern w:val="0"/>
          <w:sz w:val="32"/>
          <w:szCs w:val="32"/>
        </w:rPr>
        <w:t>（18）履行省、市、区人民政府规定的其他职责，承办区委、区政府交办的其他事项。</w:t>
      </w:r>
    </w:p>
    <w:p>
      <w:pPr>
        <w:ind w:firstLine="700" w:firstLineChars="250"/>
        <w:jc w:val="left"/>
        <w:rPr>
          <w:rFonts w:ascii="仿宋_GB2312" w:hAnsi="宋体" w:eastAsia="仿宋_GB2312"/>
          <w:sz w:val="28"/>
          <w:szCs w:val="32"/>
        </w:rPr>
      </w:pPr>
    </w:p>
    <w:p>
      <w:pPr>
        <w:widowControl/>
        <w:spacing w:line="600" w:lineRule="exact"/>
        <w:rPr>
          <w:rFonts w:ascii="黑体" w:hAnsi="黑体" w:eastAsia="黑体"/>
          <w:bCs/>
          <w:kern w:val="0"/>
          <w:sz w:val="32"/>
          <w:szCs w:val="32"/>
        </w:rPr>
      </w:pPr>
      <w:r>
        <w:rPr>
          <w:rFonts w:hint="eastAsia" w:ascii="黑体" w:hAnsi="黑体" w:eastAsia="黑体"/>
          <w:bCs/>
          <w:kern w:val="0"/>
          <w:sz w:val="32"/>
          <w:szCs w:val="32"/>
        </w:rPr>
        <w:t>二、机构设置及决算单位构成</w:t>
      </w:r>
    </w:p>
    <w:p>
      <w:pPr>
        <w:ind w:firstLine="640" w:firstLineChars="200"/>
        <w:rPr>
          <w:rFonts w:ascii="宋体" w:hAnsi="宋体"/>
          <w:bCs/>
          <w:kern w:val="0"/>
          <w:sz w:val="32"/>
          <w:szCs w:val="32"/>
        </w:rPr>
      </w:pPr>
      <w:r>
        <w:rPr>
          <w:rFonts w:hint="eastAsia" w:ascii="宋体" w:hAnsi="宋体"/>
          <w:bCs/>
          <w:kern w:val="0"/>
          <w:sz w:val="32"/>
          <w:szCs w:val="32"/>
        </w:rPr>
        <w:t>（一）内设机构设置。鹤城区城市管理和综合执法局单位内设机构包括：办公室、政策法规股、市容管理股、违法建设管理股、执法督查室（加挂考评办）、投诉举报中心（加挂信访维稳办）、财务装备股（加挂处罚中心）、人事教育股，另设立机动大队及七个派出执法大队。</w:t>
      </w:r>
    </w:p>
    <w:p>
      <w:pPr>
        <w:widowControl/>
        <w:spacing w:line="600" w:lineRule="exact"/>
        <w:ind w:firstLine="640" w:firstLineChars="200"/>
        <w:rPr>
          <w:rFonts w:ascii="宋体" w:hAnsi="宋体"/>
          <w:bCs/>
          <w:kern w:val="0"/>
          <w:sz w:val="32"/>
          <w:szCs w:val="32"/>
        </w:rPr>
      </w:pPr>
      <w:r>
        <w:rPr>
          <w:rFonts w:hint="eastAsia" w:ascii="宋体" w:hAnsi="宋体"/>
          <w:bCs/>
          <w:kern w:val="0"/>
          <w:sz w:val="32"/>
          <w:szCs w:val="32"/>
        </w:rPr>
        <w:t>（二）决算单位构成。鹤城区城市管理和综合执法局</w:t>
      </w:r>
      <w:r>
        <w:rPr>
          <w:rFonts w:ascii="宋体" w:hAnsi="宋体"/>
          <w:bCs/>
          <w:kern w:val="0"/>
          <w:sz w:val="32"/>
          <w:szCs w:val="32"/>
        </w:rPr>
        <w:t>2019</w:t>
      </w:r>
      <w:r>
        <w:rPr>
          <w:rFonts w:hint="eastAsia" w:ascii="宋体" w:hAnsi="宋体"/>
          <w:bCs/>
          <w:kern w:val="0"/>
          <w:sz w:val="32"/>
          <w:szCs w:val="32"/>
        </w:rPr>
        <w:t>年部门决算汇总公开单位构成包括：鹤城区城市管理和综合执法局本级以及机动执法大队、迎丰执法大队、红星执法大队、盈口执法大队、城南执法大队、城中执法大队、城北执法大队、坨院执法大队。</w:t>
      </w:r>
    </w:p>
    <w:p>
      <w:pPr>
        <w:jc w:val="left"/>
        <w:rPr>
          <w:rFonts w:ascii="仿宋_GB2312" w:hAnsi="宋体" w:eastAsia="仿宋_GB2312"/>
          <w:sz w:val="28"/>
          <w:szCs w:val="32"/>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sz w:val="72"/>
          <w:szCs w:val="72"/>
        </w:rPr>
      </w:pPr>
    </w:p>
    <w:p>
      <w:pPr>
        <w:jc w:val="center"/>
        <w:rPr>
          <w:sz w:val="72"/>
          <w:szCs w:val="72"/>
        </w:rPr>
      </w:pPr>
      <w:r>
        <w:rPr>
          <w:rFonts w:hint="eastAsia"/>
          <w:sz w:val="72"/>
          <w:szCs w:val="72"/>
        </w:rPr>
        <w:t>第二部分</w:t>
      </w:r>
    </w:p>
    <w:p>
      <w:pPr>
        <w:jc w:val="center"/>
        <w:rPr>
          <w:sz w:val="72"/>
          <w:szCs w:val="72"/>
        </w:rPr>
      </w:pPr>
    </w:p>
    <w:p>
      <w:pPr>
        <w:jc w:val="center"/>
        <w:rPr>
          <w:sz w:val="72"/>
          <w:szCs w:val="72"/>
        </w:rPr>
      </w:pPr>
      <w:r>
        <w:rPr>
          <w:rFonts w:hint="eastAsia"/>
          <w:sz w:val="72"/>
          <w:szCs w:val="72"/>
        </w:rPr>
        <w:t>部门决算表（详见附表）</w:t>
      </w:r>
    </w:p>
    <w:p>
      <w:pPr>
        <w:jc w:val="center"/>
        <w:rPr>
          <w:sz w:val="72"/>
          <w:szCs w:val="72"/>
        </w:rPr>
      </w:pPr>
    </w:p>
    <w:p>
      <w:pPr>
        <w:pStyle w:val="11"/>
        <w:rPr>
          <w:sz w:val="72"/>
          <w:szCs w:val="72"/>
        </w:rPr>
        <w:sectPr>
          <w:pgSz w:w="16838" w:h="11906" w:orient="landscape"/>
          <w:pgMar w:top="720" w:right="720" w:bottom="720" w:left="720" w:header="851" w:footer="992" w:gutter="0"/>
          <w:cols w:space="720" w:num="1"/>
          <w:docGrid w:type="lines" w:linePitch="312" w:charSpace="0"/>
        </w:sectPr>
      </w:pPr>
    </w:p>
    <w:p>
      <w:pPr>
        <w:pStyle w:val="11"/>
        <w:rPr>
          <w:sz w:val="72"/>
          <w:szCs w:val="72"/>
        </w:rPr>
      </w:pPr>
    </w:p>
    <w:p>
      <w:pPr>
        <w:pStyle w:val="11"/>
        <w:rPr>
          <w:sz w:val="72"/>
          <w:szCs w:val="72"/>
        </w:rPr>
      </w:pPr>
    </w:p>
    <w:p>
      <w:pPr>
        <w:pStyle w:val="11"/>
        <w:rPr>
          <w:sz w:val="72"/>
          <w:szCs w:val="72"/>
        </w:rPr>
      </w:pPr>
    </w:p>
    <w:p>
      <w:pPr>
        <w:pStyle w:val="11"/>
        <w:jc w:val="center"/>
        <w:rPr>
          <w:sz w:val="72"/>
          <w:szCs w:val="72"/>
        </w:rPr>
      </w:pPr>
    </w:p>
    <w:p>
      <w:pPr>
        <w:pStyle w:val="11"/>
        <w:jc w:val="center"/>
        <w:rPr>
          <w:sz w:val="72"/>
          <w:szCs w:val="72"/>
        </w:rPr>
      </w:pPr>
    </w:p>
    <w:p>
      <w:pPr>
        <w:pStyle w:val="11"/>
        <w:jc w:val="center"/>
        <w:rPr>
          <w:sz w:val="72"/>
          <w:szCs w:val="72"/>
        </w:rPr>
      </w:pPr>
      <w:r>
        <w:rPr>
          <w:rFonts w:hint="eastAsia"/>
          <w:sz w:val="72"/>
          <w:szCs w:val="72"/>
        </w:rPr>
        <w:t>第三部分</w:t>
      </w:r>
    </w:p>
    <w:p>
      <w:pPr>
        <w:pStyle w:val="11"/>
        <w:jc w:val="center"/>
        <w:rPr>
          <w:sz w:val="70"/>
          <w:szCs w:val="70"/>
        </w:rPr>
      </w:pPr>
    </w:p>
    <w:p>
      <w:pPr>
        <w:pStyle w:val="11"/>
        <w:jc w:val="center"/>
        <w:rPr>
          <w:sz w:val="70"/>
          <w:szCs w:val="70"/>
        </w:rPr>
      </w:pPr>
      <w:r>
        <w:rPr>
          <w:sz w:val="70"/>
          <w:szCs w:val="70"/>
        </w:rPr>
        <w:t>2019</w:t>
      </w:r>
      <w:r>
        <w:rPr>
          <w:rFonts w:hint="eastAsia"/>
          <w:sz w:val="70"/>
          <w:szCs w:val="70"/>
        </w:rPr>
        <w:t>年度部门决算情况说明</w:t>
      </w:r>
    </w:p>
    <w:p>
      <w:pPr>
        <w:pStyle w:val="11"/>
        <w:rPr>
          <w:rFonts w:hAnsi="黑体"/>
          <w:b/>
          <w:sz w:val="32"/>
          <w:szCs w:val="32"/>
        </w:rPr>
      </w:pPr>
      <w:r>
        <w:rPr>
          <w:sz w:val="70"/>
          <w:szCs w:val="70"/>
        </w:rPr>
        <w:br w:type="page"/>
      </w:r>
      <w:r>
        <w:rPr>
          <w:rFonts w:hint="eastAsia" w:hAnsi="黑体"/>
          <w:b/>
          <w:sz w:val="32"/>
          <w:szCs w:val="32"/>
        </w:rPr>
        <w:t>一、收入支出决算总体情况说明</w:t>
      </w:r>
    </w:p>
    <w:p>
      <w:pPr>
        <w:snapToGrid w:val="0"/>
        <w:spacing w:line="600" w:lineRule="exact"/>
        <w:ind w:firstLine="640" w:firstLineChars="200"/>
        <w:jc w:val="left"/>
        <w:rPr>
          <w:rFonts w:hint="eastAsia" w:ascii="宋体" w:hAnsi="宋体" w:cs="黑体"/>
          <w:color w:val="000000"/>
          <w:kern w:val="0"/>
          <w:sz w:val="32"/>
          <w:szCs w:val="32"/>
        </w:rPr>
      </w:pPr>
      <w:r>
        <w:rPr>
          <w:rFonts w:hint="eastAsia" w:ascii="宋体" w:hAnsi="宋体" w:cs="黑体"/>
          <w:color w:val="000000"/>
          <w:kern w:val="0"/>
          <w:sz w:val="32"/>
          <w:szCs w:val="32"/>
        </w:rPr>
        <w:t>2019年收支总计4429.59万元，较上年增加97.61万元，增长2.25%。其中：2019年部门决算收入4364.91万元，较上年度增加111.05万元；收入增加的原因主要是城管编制体制改革正在进行，单位职能及人员和装备相应增加等原因导致总体经费收支略有增加；支出4274.18万元，较上年度增加6.88万元。支出增加的原因主要是城管编制体制改革正在进行，单位职能及人员和装备相应增加等原因导致总体经费收支略有增加。</w:t>
      </w:r>
    </w:p>
    <w:p>
      <w:pPr>
        <w:pStyle w:val="11"/>
        <w:rPr>
          <w:rFonts w:hAnsi="黑体"/>
          <w:b/>
          <w:sz w:val="32"/>
          <w:szCs w:val="32"/>
        </w:rPr>
      </w:pPr>
      <w:r>
        <w:rPr>
          <w:rFonts w:hint="eastAsia" w:hAnsi="黑体"/>
          <w:b/>
          <w:sz w:val="32"/>
          <w:szCs w:val="32"/>
        </w:rPr>
        <w:t>二、收入决算情况说明</w:t>
      </w:r>
    </w:p>
    <w:p>
      <w:pPr>
        <w:pStyle w:val="11"/>
        <w:ind w:firstLine="640" w:firstLineChars="200"/>
        <w:rPr>
          <w:rFonts w:ascii="宋体" w:hAnsi="宋体" w:eastAsia="宋体"/>
          <w:sz w:val="32"/>
          <w:szCs w:val="32"/>
        </w:rPr>
      </w:pPr>
      <w:r>
        <w:rPr>
          <w:rFonts w:hint="eastAsia" w:ascii="宋体" w:hAnsi="宋体" w:eastAsia="宋体"/>
          <w:sz w:val="32"/>
          <w:szCs w:val="32"/>
        </w:rPr>
        <w:t>本年收入合计4364.91万元，其中：财政拨款收入4364.91万元，占100%；上级补助收入0万元，占0%；事业收入0万元，占0%；经营收入0万元，占0%；附属单位上缴收入0万元，占0%；其他收入0万元，占0%。</w:t>
      </w:r>
    </w:p>
    <w:p>
      <w:pPr>
        <w:pStyle w:val="11"/>
        <w:rPr>
          <w:rFonts w:hAnsi="黑体"/>
          <w:b/>
          <w:sz w:val="32"/>
          <w:szCs w:val="32"/>
        </w:rPr>
      </w:pPr>
      <w:r>
        <w:rPr>
          <w:rFonts w:hint="eastAsia" w:hAnsi="黑体"/>
          <w:b/>
          <w:sz w:val="32"/>
          <w:szCs w:val="32"/>
        </w:rPr>
        <w:t>三、支出决算情况说明</w:t>
      </w:r>
    </w:p>
    <w:p>
      <w:pPr>
        <w:pStyle w:val="11"/>
        <w:ind w:firstLine="640" w:firstLineChars="200"/>
        <w:rPr>
          <w:rFonts w:ascii="宋体" w:hAnsi="宋体" w:eastAsia="宋体"/>
          <w:sz w:val="32"/>
          <w:szCs w:val="32"/>
        </w:rPr>
      </w:pPr>
      <w:r>
        <w:rPr>
          <w:rFonts w:hint="eastAsia" w:ascii="宋体" w:hAnsi="宋体" w:eastAsia="宋体"/>
          <w:sz w:val="32"/>
          <w:szCs w:val="32"/>
        </w:rPr>
        <w:t>本年支出合计4274.18万元，其中：基本支出4274.18万元，占100%；项目支出0万元，占0%；上缴上级支出0万元，占0%；经营支出0万元，占0%；对附属单位补助支出0万元，占0%。</w:t>
      </w:r>
    </w:p>
    <w:p>
      <w:pPr>
        <w:pStyle w:val="11"/>
        <w:rPr>
          <w:rFonts w:hAnsi="黑体"/>
          <w:b/>
          <w:sz w:val="32"/>
          <w:szCs w:val="32"/>
        </w:rPr>
      </w:pPr>
      <w:r>
        <w:rPr>
          <w:rFonts w:hint="eastAsia" w:hAnsi="黑体"/>
          <w:b/>
          <w:sz w:val="32"/>
          <w:szCs w:val="32"/>
        </w:rPr>
        <w:t>四、财政拨款收入支出决算总体情况说明</w:t>
      </w:r>
    </w:p>
    <w:p>
      <w:pPr>
        <w:snapToGrid w:val="0"/>
        <w:spacing w:line="600" w:lineRule="exact"/>
        <w:ind w:firstLine="640" w:firstLineChars="200"/>
        <w:jc w:val="left"/>
        <w:rPr>
          <w:rFonts w:hint="eastAsia" w:ascii="宋体" w:hAnsi="宋体" w:cs="黑体"/>
          <w:color w:val="000000"/>
          <w:kern w:val="0"/>
          <w:sz w:val="32"/>
          <w:szCs w:val="32"/>
        </w:rPr>
      </w:pPr>
      <w:r>
        <w:rPr>
          <w:rFonts w:hint="eastAsia" w:ascii="宋体" w:hAnsi="宋体" w:cs="黑体"/>
          <w:color w:val="000000"/>
          <w:kern w:val="0"/>
          <w:sz w:val="32"/>
          <w:szCs w:val="32"/>
        </w:rPr>
        <w:t>2019年财政拨款收支总计4429.59万元，较上年增加97.61万元，增长2.25%。其中：2019年部门决算收入4364.91万元，较上年度增加111.05万元；收入增加的原因主要是城管编制体制改革正在进行，单位职能及人员和装备相应增加等原因导致总体经费收支略有增加；支出4274.18万元，较上年度增加6.88万元。支出增加的原因主要是城管编制体制改革正在进行，单位职能及人员和装备相应增加等原因导致总体经费收支略有增加。</w:t>
      </w:r>
    </w:p>
    <w:p>
      <w:pPr>
        <w:pStyle w:val="11"/>
        <w:rPr>
          <w:rFonts w:hAnsi="黑体"/>
          <w:b/>
          <w:sz w:val="32"/>
          <w:szCs w:val="32"/>
        </w:rPr>
      </w:pPr>
      <w:r>
        <w:rPr>
          <w:rFonts w:hint="eastAsia" w:hAnsi="黑体"/>
          <w:b/>
          <w:sz w:val="32"/>
          <w:szCs w:val="32"/>
        </w:rPr>
        <w:t>五、一般公共预算财政拨款支出决算情况说明</w:t>
      </w:r>
    </w:p>
    <w:p>
      <w:pPr>
        <w:pStyle w:val="11"/>
        <w:ind w:firstLine="640" w:firstLineChars="200"/>
        <w:rPr>
          <w:rFonts w:ascii="宋体" w:hAnsi="宋体" w:eastAsia="宋体"/>
          <w:b/>
          <w:sz w:val="32"/>
          <w:szCs w:val="32"/>
        </w:rPr>
      </w:pPr>
      <w:r>
        <w:rPr>
          <w:rFonts w:hint="eastAsia" w:ascii="宋体" w:hAnsi="宋体" w:eastAsia="宋体"/>
          <w:b/>
          <w:sz w:val="32"/>
          <w:szCs w:val="32"/>
        </w:rPr>
        <w:t>（一）财政拨款支出决算总体情况</w:t>
      </w:r>
    </w:p>
    <w:p>
      <w:pPr>
        <w:pStyle w:val="11"/>
        <w:ind w:firstLine="800" w:firstLineChars="250"/>
        <w:rPr>
          <w:rFonts w:ascii="宋体" w:hAnsi="宋体" w:eastAsia="宋体"/>
          <w:sz w:val="32"/>
          <w:szCs w:val="32"/>
        </w:rPr>
      </w:pPr>
      <w:r>
        <w:rPr>
          <w:rFonts w:hint="eastAsia" w:ascii="宋体" w:hAnsi="宋体" w:eastAsia="宋体"/>
          <w:sz w:val="32"/>
          <w:szCs w:val="32"/>
        </w:rPr>
        <w:t>2019年度财政拨款支出4274.18万元，占本年支出合计的100%，与2018年相比，财政拨款支出增加6.88万元，增长0.16%，主要是因为人员增加。</w:t>
      </w:r>
    </w:p>
    <w:p>
      <w:pPr>
        <w:pStyle w:val="11"/>
        <w:ind w:firstLine="480" w:firstLineChars="150"/>
        <w:rPr>
          <w:rFonts w:ascii="宋体" w:hAnsi="宋体" w:eastAsia="宋体"/>
          <w:b/>
          <w:sz w:val="32"/>
          <w:szCs w:val="32"/>
        </w:rPr>
      </w:pPr>
      <w:r>
        <w:rPr>
          <w:rFonts w:hint="eastAsia" w:ascii="宋体" w:hAnsi="宋体" w:eastAsia="宋体"/>
          <w:b/>
          <w:sz w:val="32"/>
          <w:szCs w:val="32"/>
        </w:rPr>
        <w:t>（二）财政拨款支出决算结构情况</w:t>
      </w:r>
    </w:p>
    <w:p>
      <w:pPr>
        <w:pStyle w:val="11"/>
        <w:ind w:firstLine="640" w:firstLineChars="200"/>
        <w:rPr>
          <w:rFonts w:ascii="宋体" w:hAnsi="宋体" w:eastAsia="宋体"/>
          <w:sz w:val="32"/>
          <w:szCs w:val="32"/>
        </w:rPr>
      </w:pPr>
      <w:r>
        <w:rPr>
          <w:rFonts w:hint="eastAsia" w:ascii="宋体" w:hAnsi="宋体" w:eastAsia="宋体"/>
          <w:sz w:val="32"/>
          <w:szCs w:val="32"/>
        </w:rPr>
        <w:t>2019年度财政拨款支出4274.18万元，主要用于以下方面：公共安全支出106万元，占2.48%；社会保障和就业支出141.05万元，占3.30%;节能环保支出8.17万元，占0.19%，城乡社区支出4018.97万元，占94.03%。</w:t>
      </w:r>
    </w:p>
    <w:p>
      <w:pPr>
        <w:pStyle w:val="11"/>
        <w:ind w:firstLine="800" w:firstLineChars="250"/>
        <w:rPr>
          <w:rFonts w:ascii="宋体" w:hAnsi="宋体" w:eastAsia="宋体"/>
          <w:b/>
          <w:sz w:val="32"/>
          <w:szCs w:val="32"/>
        </w:rPr>
      </w:pPr>
      <w:r>
        <w:rPr>
          <w:rFonts w:hint="eastAsia" w:ascii="宋体" w:hAnsi="宋体" w:eastAsia="宋体"/>
          <w:b/>
          <w:sz w:val="32"/>
          <w:szCs w:val="32"/>
        </w:rPr>
        <w:t>（三）财政拨款支出决算具体情况</w:t>
      </w:r>
    </w:p>
    <w:p>
      <w:pPr>
        <w:pStyle w:val="11"/>
        <w:ind w:firstLine="800" w:firstLineChars="250"/>
        <w:rPr>
          <w:rFonts w:ascii="宋体" w:hAnsi="宋体" w:eastAsia="宋体"/>
          <w:sz w:val="32"/>
          <w:szCs w:val="32"/>
        </w:rPr>
      </w:pPr>
      <w:r>
        <w:rPr>
          <w:rFonts w:hint="eastAsia" w:ascii="宋体" w:hAnsi="宋体" w:eastAsia="宋体"/>
          <w:sz w:val="32"/>
          <w:szCs w:val="32"/>
        </w:rPr>
        <w:t>2019年度财政拨款支出年初预算数为4487.97万元，支出决算数为4274.18万元，完成年初预算的95.24%，其中：</w:t>
      </w:r>
    </w:p>
    <w:p>
      <w:pPr>
        <w:pStyle w:val="11"/>
        <w:ind w:firstLine="800" w:firstLineChars="250"/>
        <w:rPr>
          <w:rFonts w:ascii="宋体" w:hAnsi="宋体" w:eastAsia="宋体"/>
          <w:sz w:val="32"/>
          <w:szCs w:val="32"/>
        </w:rPr>
      </w:pPr>
      <w:r>
        <w:rPr>
          <w:rFonts w:hint="eastAsia" w:ascii="宋体" w:hAnsi="宋体" w:eastAsia="宋体"/>
          <w:sz w:val="32"/>
          <w:szCs w:val="32"/>
        </w:rPr>
        <w:t>1、公共安全支出204（类）公安20402（款）行政运行2040201（项）。</w:t>
      </w:r>
    </w:p>
    <w:p>
      <w:pPr>
        <w:pStyle w:val="11"/>
        <w:ind w:firstLine="800" w:firstLineChars="250"/>
        <w:rPr>
          <w:rFonts w:ascii="宋体" w:hAnsi="宋体" w:eastAsia="宋体"/>
          <w:sz w:val="32"/>
          <w:szCs w:val="32"/>
        </w:rPr>
      </w:pPr>
      <w:r>
        <w:rPr>
          <w:rFonts w:hint="eastAsia" w:ascii="宋体" w:hAnsi="宋体" w:eastAsia="宋体"/>
          <w:sz w:val="32"/>
          <w:szCs w:val="32"/>
        </w:rPr>
        <w:t>年初预算为56万元，支出决算为56万元，完成年初预算的100%。</w:t>
      </w:r>
    </w:p>
    <w:p>
      <w:pPr>
        <w:pStyle w:val="11"/>
        <w:ind w:firstLine="800" w:firstLineChars="250"/>
        <w:rPr>
          <w:rFonts w:ascii="宋体" w:hAnsi="宋体" w:eastAsia="宋体"/>
          <w:sz w:val="32"/>
          <w:szCs w:val="32"/>
        </w:rPr>
      </w:pPr>
      <w:r>
        <w:rPr>
          <w:rFonts w:hint="eastAsia" w:ascii="宋体" w:hAnsi="宋体" w:eastAsia="宋体"/>
          <w:sz w:val="32"/>
          <w:szCs w:val="32"/>
        </w:rPr>
        <w:t>2、公共安全支出204（类）公安20402（款）行政运行2040299（项）。</w:t>
      </w:r>
    </w:p>
    <w:p>
      <w:pPr>
        <w:pStyle w:val="11"/>
        <w:ind w:firstLine="800" w:firstLineChars="250"/>
        <w:rPr>
          <w:rFonts w:ascii="宋体" w:hAnsi="宋体" w:eastAsia="宋体"/>
          <w:sz w:val="32"/>
          <w:szCs w:val="32"/>
        </w:rPr>
      </w:pPr>
      <w:r>
        <w:rPr>
          <w:rFonts w:hint="eastAsia" w:ascii="宋体" w:hAnsi="宋体" w:eastAsia="宋体"/>
          <w:sz w:val="32"/>
          <w:szCs w:val="32"/>
        </w:rPr>
        <w:t>年初预算为50万元，支出决算为50万元，完成年初预算的100%。</w:t>
      </w:r>
    </w:p>
    <w:p>
      <w:pPr>
        <w:pStyle w:val="11"/>
        <w:ind w:firstLine="800" w:firstLineChars="250"/>
        <w:rPr>
          <w:rFonts w:ascii="宋体" w:hAnsi="宋体" w:eastAsia="宋体"/>
          <w:sz w:val="32"/>
          <w:szCs w:val="32"/>
        </w:rPr>
      </w:pPr>
      <w:r>
        <w:rPr>
          <w:rFonts w:hint="eastAsia" w:ascii="宋体" w:hAnsi="宋体" w:eastAsia="宋体"/>
          <w:sz w:val="32"/>
          <w:szCs w:val="32"/>
        </w:rPr>
        <w:t>3、社会保障和就业支出208（类）就业补助20807（款）其他就业补助支出2080799（项）。</w:t>
      </w:r>
    </w:p>
    <w:p>
      <w:pPr>
        <w:pStyle w:val="11"/>
        <w:ind w:firstLine="800" w:firstLineChars="250"/>
        <w:rPr>
          <w:rFonts w:ascii="宋体" w:hAnsi="宋体" w:eastAsia="宋体"/>
          <w:sz w:val="32"/>
          <w:szCs w:val="32"/>
        </w:rPr>
      </w:pPr>
      <w:r>
        <w:rPr>
          <w:rFonts w:hint="eastAsia" w:ascii="宋体" w:hAnsi="宋体" w:eastAsia="宋体"/>
          <w:sz w:val="32"/>
          <w:szCs w:val="32"/>
        </w:rPr>
        <w:t>年初预算为130.01万元，支出决算为130.01万元，完成年初预算的100%。</w:t>
      </w:r>
    </w:p>
    <w:p>
      <w:pPr>
        <w:pStyle w:val="11"/>
        <w:ind w:firstLine="800" w:firstLineChars="250"/>
        <w:rPr>
          <w:rFonts w:ascii="宋体" w:hAnsi="宋体" w:eastAsia="宋体"/>
          <w:sz w:val="32"/>
          <w:szCs w:val="32"/>
        </w:rPr>
      </w:pPr>
      <w:r>
        <w:rPr>
          <w:rFonts w:hint="eastAsia" w:ascii="宋体" w:hAnsi="宋体" w:eastAsia="宋体"/>
          <w:sz w:val="32"/>
          <w:szCs w:val="32"/>
        </w:rPr>
        <w:t>4、社会保障和就业支出208（类）抚恤20808（款）其他优抚支出2080899（项）。</w:t>
      </w:r>
    </w:p>
    <w:p>
      <w:pPr>
        <w:pStyle w:val="11"/>
        <w:ind w:firstLine="800" w:firstLineChars="250"/>
        <w:rPr>
          <w:rFonts w:ascii="宋体" w:hAnsi="宋体" w:eastAsia="宋体"/>
          <w:sz w:val="32"/>
          <w:szCs w:val="32"/>
        </w:rPr>
      </w:pPr>
      <w:r>
        <w:rPr>
          <w:rFonts w:hint="eastAsia" w:ascii="宋体" w:hAnsi="宋体" w:eastAsia="宋体"/>
          <w:sz w:val="32"/>
          <w:szCs w:val="32"/>
        </w:rPr>
        <w:t>年初预算为5.7万元，支出决算为5.7万元，完成年初预算的100%。</w:t>
      </w:r>
    </w:p>
    <w:p>
      <w:pPr>
        <w:pStyle w:val="11"/>
        <w:ind w:firstLine="800" w:firstLineChars="250"/>
        <w:rPr>
          <w:rFonts w:ascii="宋体" w:hAnsi="宋体" w:eastAsia="宋体"/>
          <w:sz w:val="32"/>
          <w:szCs w:val="32"/>
        </w:rPr>
      </w:pPr>
      <w:r>
        <w:rPr>
          <w:rFonts w:hint="eastAsia" w:ascii="宋体" w:hAnsi="宋体" w:eastAsia="宋体"/>
          <w:sz w:val="32"/>
          <w:szCs w:val="32"/>
        </w:rPr>
        <w:t>5、社会保障和就业支出208（类）其他社会保障和就业支出20899（款）其他社会保障和就业支出2089901（项）。</w:t>
      </w:r>
    </w:p>
    <w:p>
      <w:pPr>
        <w:pStyle w:val="11"/>
        <w:ind w:firstLine="800" w:firstLineChars="250"/>
        <w:rPr>
          <w:rFonts w:ascii="宋体" w:hAnsi="宋体" w:eastAsia="宋体"/>
          <w:sz w:val="32"/>
          <w:szCs w:val="32"/>
        </w:rPr>
      </w:pPr>
      <w:r>
        <w:rPr>
          <w:rFonts w:hint="eastAsia" w:ascii="宋体" w:hAnsi="宋体" w:eastAsia="宋体"/>
          <w:sz w:val="32"/>
          <w:szCs w:val="32"/>
        </w:rPr>
        <w:t>年初预算为5.34万元，支出决算为5.34万元，完成年初预算的100%。</w:t>
      </w:r>
    </w:p>
    <w:p>
      <w:pPr>
        <w:pStyle w:val="11"/>
        <w:ind w:firstLine="800" w:firstLineChars="250"/>
        <w:rPr>
          <w:rFonts w:ascii="宋体" w:hAnsi="宋体" w:eastAsia="宋体"/>
          <w:sz w:val="32"/>
          <w:szCs w:val="32"/>
        </w:rPr>
      </w:pPr>
      <w:r>
        <w:rPr>
          <w:rFonts w:hint="eastAsia" w:ascii="宋体" w:hAnsi="宋体" w:eastAsia="宋体"/>
          <w:sz w:val="32"/>
          <w:szCs w:val="32"/>
        </w:rPr>
        <w:t>6、节能环保支出211（类）污染防治21103（款）其他污染防治运出110399（项）</w:t>
      </w:r>
    </w:p>
    <w:p>
      <w:pPr>
        <w:pStyle w:val="11"/>
        <w:ind w:firstLine="800" w:firstLineChars="250"/>
        <w:rPr>
          <w:rFonts w:ascii="宋体" w:hAnsi="宋体" w:eastAsia="宋体"/>
          <w:sz w:val="32"/>
          <w:szCs w:val="32"/>
        </w:rPr>
      </w:pPr>
      <w:r>
        <w:rPr>
          <w:rFonts w:hint="eastAsia" w:ascii="宋体" w:hAnsi="宋体" w:eastAsia="宋体"/>
          <w:sz w:val="32"/>
          <w:szCs w:val="32"/>
        </w:rPr>
        <w:t>年初预算为8.17万元，支出决算为8.17万元，完成年初预算的100%。</w:t>
      </w:r>
    </w:p>
    <w:p>
      <w:pPr>
        <w:pStyle w:val="11"/>
        <w:ind w:firstLine="800" w:firstLineChars="250"/>
        <w:rPr>
          <w:rFonts w:ascii="宋体" w:hAnsi="宋体" w:eastAsia="宋体"/>
          <w:sz w:val="32"/>
          <w:szCs w:val="32"/>
        </w:rPr>
      </w:pPr>
      <w:r>
        <w:rPr>
          <w:rFonts w:hint="eastAsia" w:ascii="宋体" w:hAnsi="宋体" w:eastAsia="宋体"/>
          <w:sz w:val="32"/>
          <w:szCs w:val="32"/>
        </w:rPr>
        <w:t>7、城乡社会支出212（类）城乡社区管理事务21201（款）机关服务2120103（项）</w:t>
      </w:r>
    </w:p>
    <w:p>
      <w:pPr>
        <w:pStyle w:val="11"/>
        <w:ind w:firstLine="800" w:firstLineChars="250"/>
        <w:rPr>
          <w:rFonts w:ascii="宋体" w:hAnsi="宋体" w:eastAsia="宋体"/>
          <w:sz w:val="32"/>
          <w:szCs w:val="32"/>
        </w:rPr>
      </w:pPr>
      <w:r>
        <w:rPr>
          <w:rFonts w:hint="eastAsia" w:ascii="宋体" w:hAnsi="宋体" w:eastAsia="宋体"/>
          <w:sz w:val="32"/>
          <w:szCs w:val="32"/>
        </w:rPr>
        <w:t>年初预算为13万元，支出决算为13万元，完成年初预算的100%。</w:t>
      </w:r>
    </w:p>
    <w:p>
      <w:pPr>
        <w:pStyle w:val="11"/>
        <w:ind w:firstLine="800" w:firstLineChars="250"/>
        <w:rPr>
          <w:rFonts w:ascii="宋体" w:hAnsi="宋体" w:eastAsia="宋体"/>
          <w:sz w:val="32"/>
          <w:szCs w:val="32"/>
        </w:rPr>
      </w:pPr>
      <w:r>
        <w:rPr>
          <w:rFonts w:hint="eastAsia" w:ascii="宋体" w:hAnsi="宋体" w:eastAsia="宋体"/>
          <w:sz w:val="32"/>
          <w:szCs w:val="32"/>
        </w:rPr>
        <w:t>8、城乡社会支出212（类）城乡社区管理事务21201（款）城管执法2120104（项）</w:t>
      </w:r>
    </w:p>
    <w:p>
      <w:pPr>
        <w:pStyle w:val="11"/>
        <w:ind w:firstLine="800" w:firstLineChars="250"/>
        <w:rPr>
          <w:rFonts w:ascii="宋体" w:hAnsi="宋体" w:eastAsia="宋体"/>
          <w:sz w:val="32"/>
          <w:szCs w:val="32"/>
        </w:rPr>
      </w:pPr>
      <w:r>
        <w:rPr>
          <w:rFonts w:hint="eastAsia" w:ascii="宋体" w:hAnsi="宋体" w:eastAsia="宋体"/>
          <w:sz w:val="32"/>
          <w:szCs w:val="32"/>
        </w:rPr>
        <w:t>年初预算为4046.8万元，支出决算为3833.01万元，完成年初预算的94.72%。决算数小于年初预算数的主要原因是：财政经费不足，未能全额支出。</w:t>
      </w:r>
    </w:p>
    <w:p>
      <w:pPr>
        <w:pStyle w:val="11"/>
        <w:ind w:firstLine="800" w:firstLineChars="250"/>
        <w:rPr>
          <w:rFonts w:ascii="宋体" w:hAnsi="宋体" w:eastAsia="宋体"/>
          <w:sz w:val="32"/>
          <w:szCs w:val="32"/>
        </w:rPr>
      </w:pPr>
      <w:r>
        <w:rPr>
          <w:rFonts w:hint="eastAsia" w:ascii="宋体" w:hAnsi="宋体" w:eastAsia="宋体"/>
          <w:sz w:val="32"/>
          <w:szCs w:val="32"/>
        </w:rPr>
        <w:t>9、城乡社会支出212（类）城乡社区管理事务21201（款）其他城乡社区管理事务支出2120199（项）</w:t>
      </w:r>
    </w:p>
    <w:p>
      <w:pPr>
        <w:pStyle w:val="11"/>
        <w:ind w:firstLine="800" w:firstLineChars="250"/>
        <w:rPr>
          <w:rFonts w:ascii="宋体" w:hAnsi="宋体" w:eastAsia="宋体"/>
          <w:sz w:val="32"/>
          <w:szCs w:val="32"/>
        </w:rPr>
      </w:pPr>
      <w:r>
        <w:rPr>
          <w:rFonts w:hint="eastAsia" w:ascii="宋体" w:hAnsi="宋体" w:eastAsia="宋体"/>
          <w:sz w:val="32"/>
          <w:szCs w:val="32"/>
        </w:rPr>
        <w:t>年初预算为172.96万元，支出决算为172.96万元，完成年初预算的100%。</w:t>
      </w:r>
    </w:p>
    <w:p>
      <w:pPr>
        <w:pStyle w:val="11"/>
        <w:rPr>
          <w:rFonts w:hAnsi="黑体"/>
          <w:b/>
          <w:sz w:val="32"/>
          <w:szCs w:val="32"/>
        </w:rPr>
      </w:pPr>
      <w:r>
        <w:rPr>
          <w:rFonts w:hint="eastAsia" w:hAnsi="黑体"/>
          <w:b/>
          <w:sz w:val="32"/>
          <w:szCs w:val="32"/>
        </w:rPr>
        <w:t>六、一般公共预算财政拨款基本支出决算情况说明</w:t>
      </w:r>
    </w:p>
    <w:p>
      <w:pPr>
        <w:pStyle w:val="11"/>
        <w:ind w:firstLine="640" w:firstLineChars="200"/>
        <w:rPr>
          <w:rFonts w:ascii="宋体" w:hAnsi="宋体" w:eastAsia="宋体"/>
          <w:sz w:val="32"/>
          <w:szCs w:val="32"/>
        </w:rPr>
      </w:pPr>
      <w:r>
        <w:rPr>
          <w:rFonts w:hint="eastAsia" w:ascii="宋体" w:hAnsi="宋体" w:eastAsia="宋体"/>
          <w:sz w:val="32"/>
          <w:szCs w:val="32"/>
        </w:rPr>
        <w:t>2019年度财政拨款基本支出4274.18万元，其中：人员经费3573.56万元，占基本支出的83.61%,主要包括基本工资、津贴补贴、奖金、伙食补助费、绩效工资、其他社会保障缴费、住房公积金、其他工资福利支出、生活补助、医疗补助、奖励金、其他对个人和家庭的补助；公用经费700.61万元，占基本支出的16.39%，主要包括办公费、印刷费、咨询费、手续费</w:t>
      </w:r>
      <w:r>
        <w:rPr>
          <w:rFonts w:ascii="宋体" w:hAnsi="宋体" w:eastAsia="宋体"/>
          <w:sz w:val="32"/>
          <w:szCs w:val="32"/>
        </w:rPr>
        <w:t>、</w:t>
      </w:r>
      <w:r>
        <w:rPr>
          <w:rFonts w:hint="eastAsia" w:ascii="宋体" w:hAnsi="宋体" w:eastAsia="宋体"/>
          <w:sz w:val="32"/>
          <w:szCs w:val="32"/>
        </w:rPr>
        <w:t>水费、最费、取暖费、物业管理费、差旅费、维修（护）费、租赁费、培训费、专用材料费、被装购置费、劳务费、工会经费、办公设备购置、专用设备购置、信息网络及软件购置更新、其他交通工具购置、公务用车运行维护费、其他交通费用等支出。</w:t>
      </w:r>
    </w:p>
    <w:p>
      <w:pPr>
        <w:pStyle w:val="11"/>
        <w:rPr>
          <w:rFonts w:hAnsi="黑体"/>
          <w:b/>
          <w:sz w:val="32"/>
          <w:szCs w:val="32"/>
        </w:rPr>
      </w:pPr>
      <w:r>
        <w:rPr>
          <w:rFonts w:hint="eastAsia" w:hAnsi="黑体"/>
          <w:b/>
          <w:sz w:val="32"/>
          <w:szCs w:val="32"/>
        </w:rPr>
        <w:t>七、一般公共预算财政拨款三公经费支出决算情况说明</w:t>
      </w:r>
    </w:p>
    <w:p>
      <w:pPr>
        <w:pStyle w:val="11"/>
        <w:rPr>
          <w:rFonts w:ascii="宋体" w:hAnsi="宋体" w:eastAsia="宋体"/>
          <w:b/>
          <w:sz w:val="32"/>
          <w:szCs w:val="32"/>
        </w:rPr>
      </w:pPr>
      <w:r>
        <w:rPr>
          <w:rFonts w:hint="eastAsia" w:ascii="宋体" w:hAnsi="宋体" w:eastAsia="宋体"/>
          <w:b/>
          <w:sz w:val="32"/>
          <w:szCs w:val="32"/>
        </w:rPr>
        <w:t>（一）“三公”经费财政拨款支出决算总体情况说明</w:t>
      </w:r>
    </w:p>
    <w:p>
      <w:pPr>
        <w:pStyle w:val="11"/>
        <w:ind w:firstLine="800" w:firstLineChars="250"/>
        <w:rPr>
          <w:rFonts w:ascii="宋体" w:hAnsi="宋体" w:eastAsia="宋体"/>
          <w:sz w:val="32"/>
          <w:szCs w:val="32"/>
        </w:rPr>
      </w:pPr>
      <w:r>
        <w:rPr>
          <w:rFonts w:hint="eastAsia" w:ascii="宋体" w:hAnsi="宋体" w:eastAsia="宋体"/>
          <w:sz w:val="32"/>
          <w:szCs w:val="32"/>
        </w:rPr>
        <w:t>“三公”经费财政拨款支出预算为40万元，支出决算为28.65万元，完成预算的71</w:t>
      </w:r>
      <w:r>
        <w:rPr>
          <w:rFonts w:hint="eastAsia" w:ascii="宋体" w:hAnsi="宋体" w:eastAsia="宋体"/>
          <w:sz w:val="32"/>
          <w:szCs w:val="32"/>
          <w:lang w:val="en-US" w:eastAsia="zh-CN"/>
        </w:rPr>
        <w:t>.63</w:t>
      </w:r>
      <w:r>
        <w:rPr>
          <w:rFonts w:hint="eastAsia" w:ascii="宋体" w:hAnsi="宋体" w:eastAsia="宋体"/>
          <w:sz w:val="32"/>
          <w:szCs w:val="32"/>
        </w:rPr>
        <w:t>%，其中：</w:t>
      </w:r>
    </w:p>
    <w:p>
      <w:pPr>
        <w:pStyle w:val="11"/>
        <w:ind w:firstLine="800" w:firstLineChars="250"/>
        <w:rPr>
          <w:rFonts w:ascii="宋体" w:hAnsi="宋体" w:eastAsia="宋体"/>
          <w:sz w:val="32"/>
          <w:szCs w:val="32"/>
        </w:rPr>
      </w:pPr>
      <w:r>
        <w:rPr>
          <w:rFonts w:hint="eastAsia" w:ascii="宋体" w:hAnsi="宋体" w:eastAsia="宋体"/>
          <w:sz w:val="32"/>
          <w:szCs w:val="32"/>
        </w:rPr>
        <w:t>因公出国（境）费支出预算为0元，支出决算为0万元，完成预算的0%。</w:t>
      </w:r>
    </w:p>
    <w:p>
      <w:pPr>
        <w:pStyle w:val="11"/>
        <w:ind w:firstLine="800" w:firstLineChars="250"/>
        <w:rPr>
          <w:rFonts w:ascii="宋体" w:hAnsi="宋体" w:eastAsia="宋体"/>
          <w:sz w:val="32"/>
          <w:szCs w:val="32"/>
        </w:rPr>
      </w:pPr>
      <w:r>
        <w:rPr>
          <w:rFonts w:hint="eastAsia" w:ascii="宋体" w:hAnsi="宋体" w:eastAsia="宋体"/>
          <w:sz w:val="32"/>
          <w:szCs w:val="32"/>
        </w:rPr>
        <w:t>公务接待费支出预算为0万元，支出决算为0万元，完成预算的0%，决算与预算持平；与上年相比减少0.99万元，减少100%,减少的主要原因是当年未产生接待费用。</w:t>
      </w:r>
    </w:p>
    <w:p>
      <w:pPr>
        <w:pStyle w:val="11"/>
        <w:ind w:firstLine="640" w:firstLineChars="200"/>
        <w:rPr>
          <w:rFonts w:ascii="宋体" w:hAnsi="宋体" w:eastAsia="宋体"/>
          <w:sz w:val="32"/>
          <w:szCs w:val="32"/>
        </w:rPr>
      </w:pPr>
      <w:r>
        <w:rPr>
          <w:rFonts w:hint="eastAsia" w:ascii="宋体" w:hAnsi="宋体" w:eastAsia="宋体"/>
          <w:sz w:val="32"/>
          <w:szCs w:val="32"/>
        </w:rPr>
        <w:t>公务用车购置费及运行维护费支出预算为40万元，支出决算为28.65万元，完成预算的71</w:t>
      </w:r>
      <w:r>
        <w:rPr>
          <w:rFonts w:hint="eastAsia" w:ascii="宋体" w:hAnsi="宋体" w:eastAsia="宋体"/>
          <w:sz w:val="32"/>
          <w:szCs w:val="32"/>
          <w:lang w:val="en-US" w:eastAsia="zh-CN"/>
        </w:rPr>
        <w:t>.63</w:t>
      </w:r>
      <w:r>
        <w:rPr>
          <w:rFonts w:hint="eastAsia" w:ascii="宋体" w:hAnsi="宋体" w:eastAsia="宋体"/>
          <w:sz w:val="32"/>
          <w:szCs w:val="32"/>
        </w:rPr>
        <w:t>%，决算数小于年初预算数的主要原因是经费不足，要2020年支付，与上年相比减少4.75万元，减少14.22%,减少的主要原因是我局当年工作经费不足，延后到2020年支付。</w:t>
      </w:r>
    </w:p>
    <w:p>
      <w:pPr>
        <w:pStyle w:val="11"/>
        <w:rPr>
          <w:rFonts w:ascii="宋体" w:hAnsi="宋体" w:eastAsia="宋体"/>
          <w:b/>
          <w:sz w:val="32"/>
          <w:szCs w:val="32"/>
        </w:rPr>
      </w:pPr>
      <w:r>
        <w:rPr>
          <w:rFonts w:hint="eastAsia" w:ascii="宋体" w:hAnsi="宋体" w:eastAsia="宋体"/>
          <w:b/>
          <w:sz w:val="32"/>
          <w:szCs w:val="32"/>
        </w:rPr>
        <w:t>（二）“三公”经费财政拨款支出决算具体情况说明</w:t>
      </w:r>
    </w:p>
    <w:p>
      <w:pPr>
        <w:pStyle w:val="11"/>
        <w:ind w:firstLine="640" w:firstLineChars="200"/>
        <w:rPr>
          <w:rFonts w:ascii="宋体" w:hAnsi="宋体" w:eastAsia="宋体"/>
          <w:sz w:val="32"/>
          <w:szCs w:val="32"/>
        </w:rPr>
      </w:pPr>
      <w:r>
        <w:rPr>
          <w:rFonts w:hint="eastAsia" w:ascii="宋体" w:hAnsi="宋体" w:eastAsia="宋体"/>
          <w:sz w:val="32"/>
          <w:szCs w:val="32"/>
        </w:rPr>
        <w:t>2019年度“三公”经费财政拨款支出决算中，公务接待费支出决算0万元，占0%,因公出国（境）费支出决算0万元，占0%,公务用车购置费及运行维护费支出决算28.65万元，占100%。其中：</w:t>
      </w:r>
    </w:p>
    <w:p>
      <w:pPr>
        <w:pStyle w:val="11"/>
        <w:ind w:firstLine="640" w:firstLineChars="200"/>
        <w:rPr>
          <w:rFonts w:ascii="宋体" w:hAnsi="宋体" w:eastAsia="宋体"/>
          <w:sz w:val="32"/>
          <w:szCs w:val="32"/>
        </w:rPr>
      </w:pPr>
      <w:r>
        <w:rPr>
          <w:rFonts w:hint="eastAsia" w:ascii="宋体" w:hAnsi="宋体" w:eastAsia="宋体"/>
          <w:sz w:val="32"/>
          <w:szCs w:val="32"/>
        </w:rPr>
        <w:t>1、因公出国（境）费支出决算为0万元，全年安排因公出国（境）团组0个，累计0人次。</w:t>
      </w:r>
    </w:p>
    <w:p>
      <w:pPr>
        <w:pStyle w:val="11"/>
        <w:ind w:firstLine="640" w:firstLineChars="200"/>
        <w:rPr>
          <w:rFonts w:ascii="宋体" w:hAnsi="宋体" w:eastAsia="宋体"/>
          <w:sz w:val="32"/>
          <w:szCs w:val="32"/>
        </w:rPr>
      </w:pPr>
      <w:r>
        <w:rPr>
          <w:rFonts w:hint="eastAsia" w:ascii="宋体" w:hAnsi="宋体" w:eastAsia="宋体"/>
          <w:sz w:val="32"/>
          <w:szCs w:val="32"/>
        </w:rPr>
        <w:t>2、公务接待费支出决算为0万元，全年共接待来访团组0个、来宾0人次。</w:t>
      </w:r>
    </w:p>
    <w:p>
      <w:pPr>
        <w:ind w:firstLine="640" w:firstLineChars="200"/>
        <w:rPr>
          <w:rFonts w:ascii="宋体" w:hAnsi="宋体" w:cs="黑体"/>
          <w:color w:val="000000"/>
          <w:kern w:val="0"/>
          <w:sz w:val="32"/>
          <w:szCs w:val="32"/>
        </w:rPr>
      </w:pPr>
      <w:r>
        <w:rPr>
          <w:rFonts w:hint="eastAsia" w:ascii="宋体" w:hAnsi="宋体"/>
          <w:sz w:val="32"/>
          <w:szCs w:val="32"/>
        </w:rPr>
        <w:t>3、公务用车购置费及运行维护费支出决算为28.65万元，其中：公务用车购置费0万元</w:t>
      </w:r>
      <w:r>
        <w:rPr>
          <w:rFonts w:hint="eastAsia" w:ascii="宋体" w:hAnsi="宋体"/>
          <w:color w:val="000000"/>
          <w:sz w:val="32"/>
          <w:szCs w:val="32"/>
        </w:rPr>
        <w:t>，</w:t>
      </w:r>
      <w:r>
        <w:rPr>
          <w:rFonts w:hint="eastAsia" w:ascii="宋体" w:hAnsi="宋体"/>
          <w:sz w:val="32"/>
          <w:szCs w:val="32"/>
        </w:rPr>
        <w:t>公务用车运行维护费28.65万元，主要是油料和维修费支出，截止2019年12月31日，我单位开支财政拨款的公务用车保有量为23辆。</w:t>
      </w:r>
    </w:p>
    <w:p>
      <w:pPr>
        <w:pStyle w:val="11"/>
        <w:rPr>
          <w:rFonts w:hAnsi="黑体"/>
          <w:b/>
          <w:sz w:val="32"/>
          <w:szCs w:val="32"/>
        </w:rPr>
      </w:pPr>
      <w:r>
        <w:rPr>
          <w:rFonts w:hint="eastAsia" w:hAnsi="黑体"/>
          <w:b/>
          <w:sz w:val="32"/>
          <w:szCs w:val="32"/>
        </w:rPr>
        <w:t>八、政府性基金预算收入支出决算情况</w:t>
      </w:r>
    </w:p>
    <w:p>
      <w:pPr>
        <w:pStyle w:val="11"/>
        <w:rPr>
          <w:rFonts w:ascii="宋体" w:hAnsi="宋体" w:eastAsia="宋体"/>
          <w:sz w:val="32"/>
          <w:szCs w:val="32"/>
        </w:rPr>
      </w:pPr>
      <w:r>
        <w:rPr>
          <w:rFonts w:hint="eastAsia" w:ascii="宋体" w:hAnsi="宋体" w:eastAsia="宋体"/>
          <w:sz w:val="32"/>
          <w:szCs w:val="32"/>
        </w:rPr>
        <w:t xml:space="preserve">     2019年度政府性基金预算财政拨款收入0万元；年初结转和结余0万元；支出0万元，其中基本支出0万元，项目支出0万元；年末结转和结余0万元。即本单位无政府性基金收支。</w:t>
      </w:r>
    </w:p>
    <w:p>
      <w:pPr>
        <w:pStyle w:val="11"/>
        <w:rPr>
          <w:rFonts w:hAnsi="黑体"/>
          <w:b/>
          <w:sz w:val="32"/>
          <w:szCs w:val="32"/>
        </w:rPr>
      </w:pPr>
      <w:r>
        <w:rPr>
          <w:rFonts w:hint="eastAsia" w:hAnsi="黑体"/>
          <w:b/>
          <w:sz w:val="32"/>
          <w:szCs w:val="32"/>
        </w:rPr>
        <w:t>九、关于2019年度预算绩效情况说明</w:t>
      </w:r>
    </w:p>
    <w:p>
      <w:pPr>
        <w:autoSpaceDE w:val="0"/>
        <w:autoSpaceDN w:val="0"/>
        <w:adjustRightInd w:val="0"/>
        <w:ind w:firstLine="640" w:firstLineChars="200"/>
        <w:jc w:val="left"/>
        <w:rPr>
          <w:rFonts w:hint="eastAsia" w:ascii="仿宋" w:hAnsi="仿宋" w:eastAsia="仿宋"/>
          <w:kern w:val="0"/>
          <w:sz w:val="32"/>
          <w:szCs w:val="32"/>
        </w:rPr>
      </w:pPr>
      <w:r>
        <w:rPr>
          <w:rFonts w:hint="eastAsia" w:ascii="宋体" w:hAnsi="宋体" w:cs="黑体"/>
          <w:color w:val="000000"/>
          <w:kern w:val="0"/>
          <w:sz w:val="32"/>
          <w:szCs w:val="32"/>
        </w:rPr>
        <w:t>2019年度全年经费开支严格按照年初预算执行，各项经费均完成年初预算制定的绩效目标。为加强城市管理，依法行使行政执职责，我局严格按照年初预算进行部门整体支出，严格遵守各项财务规章制度，实现先有预算、后有执行、使“用钱必问效、无效必问责”成为新常态。详细附后</w:t>
      </w:r>
    </w:p>
    <w:p>
      <w:pPr>
        <w:pStyle w:val="11"/>
        <w:rPr>
          <w:rFonts w:hAnsi="黑体"/>
          <w:b/>
          <w:sz w:val="32"/>
          <w:szCs w:val="32"/>
        </w:rPr>
      </w:pPr>
      <w:r>
        <w:rPr>
          <w:rFonts w:hint="eastAsia" w:hAnsi="黑体"/>
          <w:b/>
          <w:sz w:val="32"/>
          <w:szCs w:val="32"/>
        </w:rPr>
        <w:t>十、其他重要事项情况说明</w:t>
      </w:r>
    </w:p>
    <w:p>
      <w:pPr>
        <w:ind w:firstLine="480" w:firstLineChars="150"/>
        <w:rPr>
          <w:rFonts w:ascii="宋体" w:hAnsi="宋体" w:cs="黑体"/>
          <w:b/>
          <w:color w:val="000000"/>
          <w:kern w:val="0"/>
          <w:sz w:val="32"/>
          <w:szCs w:val="32"/>
        </w:rPr>
      </w:pPr>
      <w:r>
        <w:rPr>
          <w:rFonts w:hint="eastAsia" w:ascii="宋体" w:hAnsi="宋体" w:cs="黑体"/>
          <w:b/>
          <w:color w:val="000000"/>
          <w:kern w:val="0"/>
          <w:sz w:val="32"/>
          <w:szCs w:val="32"/>
        </w:rPr>
        <w:t>（一）机关运行经费支出情况</w:t>
      </w:r>
    </w:p>
    <w:p>
      <w:pPr>
        <w:ind w:firstLine="640" w:firstLineChars="200"/>
        <w:rPr>
          <w:rFonts w:ascii="宋体" w:hAnsi="宋体" w:cs="黑体"/>
          <w:color w:val="000000"/>
          <w:kern w:val="0"/>
          <w:sz w:val="32"/>
          <w:szCs w:val="32"/>
        </w:rPr>
      </w:pPr>
      <w:r>
        <w:rPr>
          <w:rFonts w:hint="eastAsia" w:ascii="宋体" w:hAnsi="宋体" w:cs="黑体"/>
          <w:color w:val="000000"/>
          <w:kern w:val="0"/>
          <w:sz w:val="32"/>
          <w:szCs w:val="32"/>
        </w:rPr>
        <w:t>本部门2019 年度机关运行经费支出665.03万元，比年初预算数减少260.97万元，降低28.18%。主要原因是：一是精简节约，压缩部分开支，二是因财政紧张，部分经费未支付。</w:t>
      </w:r>
    </w:p>
    <w:p>
      <w:pPr>
        <w:ind w:firstLine="640" w:firstLineChars="200"/>
        <w:rPr>
          <w:rFonts w:ascii="宋体" w:hAnsi="宋体" w:cs="黑体"/>
          <w:b/>
          <w:color w:val="000000"/>
          <w:kern w:val="0"/>
          <w:sz w:val="32"/>
          <w:szCs w:val="32"/>
        </w:rPr>
      </w:pPr>
      <w:r>
        <w:rPr>
          <w:rFonts w:hint="eastAsia" w:ascii="宋体" w:hAnsi="宋体" w:cs="黑体"/>
          <w:b/>
          <w:color w:val="000000"/>
          <w:kern w:val="0"/>
          <w:sz w:val="32"/>
          <w:szCs w:val="32"/>
        </w:rPr>
        <w:t>（二）一般性支出情况</w:t>
      </w:r>
    </w:p>
    <w:p>
      <w:pPr>
        <w:ind w:firstLine="640" w:firstLineChars="200"/>
        <w:rPr>
          <w:rFonts w:hint="eastAsia" w:ascii="宋体" w:hAnsi="宋体" w:cs="黑体"/>
          <w:color w:val="000000"/>
          <w:kern w:val="0"/>
          <w:sz w:val="32"/>
          <w:szCs w:val="32"/>
        </w:rPr>
      </w:pPr>
      <w:r>
        <w:rPr>
          <w:rFonts w:hint="eastAsia" w:ascii="宋体" w:hAnsi="宋体" w:cs="黑体"/>
          <w:color w:val="000000"/>
          <w:kern w:val="0"/>
          <w:sz w:val="32"/>
          <w:szCs w:val="32"/>
        </w:rPr>
        <w:t>2019年本部门开支会议费0万元；开支培训费6.41万元，用于开展老年大学学费0.03万元、国礼电影票0.1万元、七一党建活动4.98万元、红十字会应急避险培训0.41万、车管业务培训开支0.90万元，除此外无其他培训活动等支出。</w:t>
      </w:r>
    </w:p>
    <w:p>
      <w:pPr>
        <w:ind w:firstLine="640" w:firstLineChars="200"/>
        <w:rPr>
          <w:rFonts w:ascii="宋体" w:hAnsi="宋体" w:cs="黑体"/>
          <w:b/>
          <w:color w:val="000000"/>
          <w:kern w:val="0"/>
          <w:sz w:val="32"/>
          <w:szCs w:val="32"/>
        </w:rPr>
      </w:pPr>
      <w:r>
        <w:rPr>
          <w:rFonts w:hint="eastAsia" w:ascii="宋体" w:hAnsi="宋体" w:cs="黑体"/>
          <w:b/>
          <w:color w:val="000000"/>
          <w:kern w:val="0"/>
          <w:sz w:val="32"/>
          <w:szCs w:val="32"/>
        </w:rPr>
        <w:t>（三）政府采购支出情况</w:t>
      </w:r>
    </w:p>
    <w:p>
      <w:pPr>
        <w:ind w:firstLine="640" w:firstLineChars="200"/>
        <w:rPr>
          <w:rFonts w:ascii="宋体" w:hAnsi="宋体" w:cs="黑体"/>
          <w:i/>
          <w:color w:val="FF0000"/>
          <w:kern w:val="0"/>
          <w:sz w:val="32"/>
          <w:szCs w:val="32"/>
        </w:rPr>
      </w:pPr>
      <w:r>
        <w:rPr>
          <w:rFonts w:hint="eastAsia" w:ascii="宋体" w:hAnsi="宋体" w:cs="黑体"/>
          <w:color w:val="000000"/>
          <w:kern w:val="0"/>
          <w:sz w:val="32"/>
          <w:szCs w:val="32"/>
        </w:rPr>
        <w:t>本部门2019年度政府采购支出总额235.18万元，其中：政府采购货物支出12万元、政府采购工程支出0万元、政府采购服务支出223.18万元。授予中小企业合同金额223.18万元，占政府采购支出总额的94.90%，其中：授予小微企业合同金额223.18万元，占政府采购支出总额的94.9%。</w:t>
      </w:r>
    </w:p>
    <w:p>
      <w:pPr>
        <w:ind w:firstLine="480" w:firstLineChars="150"/>
        <w:rPr>
          <w:rFonts w:ascii="宋体" w:hAnsi="宋体" w:cs="黑体"/>
          <w:b/>
          <w:color w:val="000000"/>
          <w:kern w:val="0"/>
          <w:sz w:val="32"/>
          <w:szCs w:val="32"/>
        </w:rPr>
      </w:pPr>
      <w:r>
        <w:rPr>
          <w:rFonts w:hint="eastAsia" w:ascii="宋体" w:hAnsi="宋体" w:cs="黑体"/>
          <w:b/>
          <w:color w:val="000000"/>
          <w:kern w:val="0"/>
          <w:sz w:val="32"/>
          <w:szCs w:val="32"/>
        </w:rPr>
        <w:t>（四）国有资产占用情况</w:t>
      </w:r>
    </w:p>
    <w:p>
      <w:pPr>
        <w:ind w:firstLine="640" w:firstLineChars="200"/>
        <w:rPr>
          <w:rFonts w:ascii="宋体" w:hAnsi="宋体" w:cs="黑体"/>
          <w:color w:val="000000"/>
          <w:kern w:val="0"/>
          <w:sz w:val="32"/>
          <w:szCs w:val="32"/>
        </w:rPr>
      </w:pPr>
      <w:r>
        <w:rPr>
          <w:rFonts w:hint="eastAsia" w:ascii="宋体" w:hAnsi="宋体" w:cs="黑体"/>
          <w:color w:val="000000"/>
          <w:kern w:val="0"/>
          <w:sz w:val="32"/>
          <w:szCs w:val="32"/>
        </w:rPr>
        <w:t>截至2019年12月31日，本单位共有车辆2辆，其中，领导干部用车0辆、机要通信用车0辆、应急保障用车0辆、执法执勤用车2辆、特种专业技术用车0辆、其他用车0辆；单位价值50万元以上通用设备0台（套）；单位价值100万元以上专用设备0台（套）。</w:t>
      </w:r>
    </w:p>
    <w:p>
      <w:pPr>
        <w:widowControl/>
        <w:jc w:val="left"/>
        <w:rPr>
          <w:rFonts w:ascii="宋体" w:hAnsi="宋体" w:cs="黑体"/>
          <w:color w:val="000000"/>
          <w:kern w:val="0"/>
          <w:sz w:val="32"/>
          <w:szCs w:val="32"/>
        </w:rPr>
      </w:pPr>
      <w:r>
        <w:rPr>
          <w:rFonts w:ascii="宋体" w:hAnsi="宋体" w:cs="黑体"/>
          <w:color w:val="000000"/>
          <w:kern w:val="0"/>
          <w:sz w:val="32"/>
          <w:szCs w:val="32"/>
        </w:rPr>
        <w:br w:type="page"/>
      </w:r>
    </w:p>
    <w:p>
      <w:pPr>
        <w:ind w:firstLine="640" w:firstLineChars="200"/>
        <w:rPr>
          <w:rFonts w:ascii="宋体" w:hAnsi="宋体" w:cs="黑体"/>
          <w:color w:val="000000"/>
          <w:kern w:val="0"/>
          <w:sz w:val="32"/>
          <w:szCs w:val="32"/>
        </w:rPr>
      </w:pPr>
    </w:p>
    <w:p>
      <w:pPr>
        <w:pStyle w:val="11"/>
        <w:jc w:val="center"/>
        <w:rPr>
          <w:sz w:val="72"/>
          <w:szCs w:val="72"/>
        </w:rPr>
      </w:pPr>
    </w:p>
    <w:p>
      <w:pPr>
        <w:pStyle w:val="11"/>
        <w:jc w:val="center"/>
        <w:rPr>
          <w:sz w:val="72"/>
          <w:szCs w:val="72"/>
        </w:rPr>
      </w:pPr>
    </w:p>
    <w:p>
      <w:pPr>
        <w:pStyle w:val="11"/>
        <w:jc w:val="center"/>
        <w:rPr>
          <w:sz w:val="72"/>
          <w:szCs w:val="72"/>
        </w:rPr>
      </w:pPr>
    </w:p>
    <w:p>
      <w:pPr>
        <w:pStyle w:val="11"/>
        <w:jc w:val="center"/>
        <w:rPr>
          <w:sz w:val="72"/>
          <w:szCs w:val="72"/>
        </w:rPr>
      </w:pPr>
    </w:p>
    <w:p>
      <w:pPr>
        <w:pStyle w:val="11"/>
        <w:jc w:val="center"/>
        <w:rPr>
          <w:sz w:val="72"/>
          <w:szCs w:val="72"/>
        </w:rPr>
      </w:pPr>
    </w:p>
    <w:p>
      <w:pPr>
        <w:pStyle w:val="11"/>
        <w:jc w:val="center"/>
        <w:rPr>
          <w:sz w:val="72"/>
          <w:szCs w:val="72"/>
        </w:rPr>
      </w:pPr>
    </w:p>
    <w:p>
      <w:pPr>
        <w:pStyle w:val="11"/>
        <w:jc w:val="center"/>
        <w:rPr>
          <w:sz w:val="72"/>
          <w:szCs w:val="72"/>
        </w:rPr>
      </w:pPr>
      <w:r>
        <w:rPr>
          <w:rFonts w:hint="eastAsia"/>
          <w:sz w:val="72"/>
          <w:szCs w:val="72"/>
        </w:rPr>
        <w:t>第四部分</w:t>
      </w:r>
    </w:p>
    <w:p>
      <w:pPr>
        <w:jc w:val="center"/>
        <w:rPr>
          <w:rFonts w:ascii="黑体" w:eastAsia="黑体" w:cs="黑体"/>
          <w:color w:val="000000"/>
          <w:kern w:val="0"/>
          <w:sz w:val="70"/>
          <w:szCs w:val="70"/>
        </w:rPr>
      </w:pPr>
    </w:p>
    <w:p>
      <w:pPr>
        <w:jc w:val="center"/>
        <w:rPr>
          <w:rFonts w:ascii="黑体" w:eastAsia="黑体" w:cs="黑体"/>
          <w:color w:val="000000"/>
          <w:kern w:val="0"/>
          <w:sz w:val="70"/>
          <w:szCs w:val="70"/>
        </w:rPr>
      </w:pPr>
      <w:r>
        <w:rPr>
          <w:rFonts w:hint="eastAsia" w:ascii="黑体" w:eastAsia="黑体" w:cs="黑体"/>
          <w:color w:val="000000"/>
          <w:kern w:val="0"/>
          <w:sz w:val="70"/>
          <w:szCs w:val="70"/>
        </w:rPr>
        <w:t>名词解释</w:t>
      </w:r>
    </w:p>
    <w:p>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bookmarkStart w:id="0" w:name="_GoBack"/>
      <w:bookmarkEnd w:id="0"/>
    </w:p>
    <w:p>
      <w:pPr>
        <w:ind w:firstLine="640" w:firstLineChars="200"/>
        <w:jc w:val="left"/>
        <w:rPr>
          <w:rFonts w:ascii="宋体" w:hAnsi="宋体" w:cs="黑体"/>
          <w:color w:val="000000"/>
          <w:kern w:val="0"/>
          <w:sz w:val="32"/>
          <w:szCs w:val="32"/>
        </w:rPr>
      </w:pPr>
    </w:p>
    <w:p>
      <w:pPr>
        <w:ind w:firstLine="640" w:firstLineChars="200"/>
        <w:rPr>
          <w:rFonts w:hint="eastAsia" w:ascii="宋体" w:hAnsi="宋体" w:cs="黑体"/>
          <w:color w:val="000000"/>
          <w:kern w:val="0"/>
          <w:sz w:val="32"/>
          <w:szCs w:val="32"/>
        </w:rPr>
      </w:pPr>
      <w:r>
        <w:rPr>
          <w:rFonts w:hint="eastAsia" w:ascii="宋体" w:hAnsi="宋体" w:cs="黑体"/>
          <w:color w:val="000000"/>
          <w:kern w:val="0"/>
          <w:sz w:val="32"/>
          <w:szCs w:val="32"/>
        </w:rPr>
        <w:t>一、机关运行经费：为保障行政单位（包括参照公务员法管理的事业单位）运行，用一般公共预算拨款安排，用于购买货物和服务的各项资金，包括办公及印刷费、邮电费、差旅费、会议费、福利费、日常维修费、办公用房水电费、办公用房取暖费、办公用房物业管理费、公务用车运行维护费以及其他费用，即为行政单位和参照公务员法管理事业单位一般公共预算财政拨款基本支出中的公用经费支出。</w:t>
      </w:r>
    </w:p>
    <w:p>
      <w:pPr>
        <w:ind w:firstLine="640" w:firstLineChars="200"/>
        <w:rPr>
          <w:rFonts w:hint="eastAsia" w:ascii="宋体" w:hAnsi="宋体" w:cs="黑体"/>
          <w:color w:val="000000"/>
          <w:kern w:val="0"/>
          <w:sz w:val="32"/>
          <w:szCs w:val="32"/>
        </w:rPr>
      </w:pPr>
      <w:r>
        <w:rPr>
          <w:rFonts w:hint="eastAsia" w:ascii="宋体" w:hAnsi="宋体" w:cs="黑体"/>
          <w:color w:val="000000"/>
          <w:kern w:val="0"/>
          <w:sz w:val="32"/>
          <w:szCs w:val="32"/>
        </w:rPr>
        <w:t>二、“三公”经费：纳入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pPr>
        <w:ind w:firstLine="640" w:firstLineChars="200"/>
        <w:rPr>
          <w:rFonts w:hint="eastAsia" w:ascii="宋体" w:hAnsi="宋体" w:cs="黑体"/>
          <w:color w:val="000000"/>
          <w:kern w:val="0"/>
          <w:sz w:val="32"/>
          <w:szCs w:val="32"/>
        </w:rPr>
      </w:pPr>
    </w:p>
    <w:p>
      <w:pPr>
        <w:widowControl/>
        <w:jc w:val="left"/>
        <w:rPr>
          <w:rFonts w:ascii="宋体" w:hAnsi="宋体"/>
          <w:i/>
          <w:color w:val="FF0000"/>
          <w:sz w:val="32"/>
          <w:szCs w:val="32"/>
        </w:rPr>
      </w:pPr>
      <w:r>
        <w:rPr>
          <w:rFonts w:ascii="宋体" w:hAnsi="宋体"/>
          <w:i/>
          <w:color w:val="FF0000"/>
          <w:sz w:val="32"/>
          <w:szCs w:val="32"/>
        </w:rPr>
        <w:br w:type="page"/>
      </w:r>
    </w:p>
    <w:p>
      <w:pPr>
        <w:pStyle w:val="11"/>
        <w:jc w:val="center"/>
        <w:rPr>
          <w:sz w:val="72"/>
          <w:szCs w:val="72"/>
        </w:rPr>
      </w:pPr>
    </w:p>
    <w:p>
      <w:pPr>
        <w:pStyle w:val="11"/>
        <w:jc w:val="center"/>
        <w:rPr>
          <w:sz w:val="72"/>
          <w:szCs w:val="72"/>
        </w:rPr>
      </w:pPr>
    </w:p>
    <w:p>
      <w:pPr>
        <w:pStyle w:val="11"/>
        <w:jc w:val="center"/>
        <w:rPr>
          <w:sz w:val="72"/>
          <w:szCs w:val="72"/>
        </w:rPr>
      </w:pPr>
    </w:p>
    <w:p>
      <w:pPr>
        <w:pStyle w:val="11"/>
        <w:jc w:val="center"/>
        <w:rPr>
          <w:sz w:val="72"/>
          <w:szCs w:val="72"/>
        </w:rPr>
      </w:pPr>
    </w:p>
    <w:p>
      <w:pPr>
        <w:pStyle w:val="11"/>
        <w:jc w:val="center"/>
        <w:rPr>
          <w:sz w:val="72"/>
          <w:szCs w:val="72"/>
        </w:rPr>
      </w:pPr>
    </w:p>
    <w:p>
      <w:pPr>
        <w:pStyle w:val="11"/>
        <w:jc w:val="center"/>
        <w:rPr>
          <w:sz w:val="72"/>
          <w:szCs w:val="72"/>
        </w:rPr>
      </w:pPr>
    </w:p>
    <w:p>
      <w:pPr>
        <w:pStyle w:val="11"/>
        <w:jc w:val="center"/>
        <w:rPr>
          <w:sz w:val="72"/>
          <w:szCs w:val="72"/>
        </w:rPr>
      </w:pPr>
      <w:r>
        <w:rPr>
          <w:rFonts w:hint="eastAsia"/>
          <w:sz w:val="72"/>
          <w:szCs w:val="72"/>
        </w:rPr>
        <w:t>第五部分</w:t>
      </w:r>
    </w:p>
    <w:p>
      <w:pPr>
        <w:jc w:val="center"/>
        <w:rPr>
          <w:rFonts w:ascii="黑体" w:eastAsia="黑体" w:cs="黑体"/>
          <w:color w:val="000000"/>
          <w:kern w:val="0"/>
          <w:sz w:val="70"/>
          <w:szCs w:val="70"/>
        </w:rPr>
      </w:pPr>
    </w:p>
    <w:p>
      <w:pPr>
        <w:jc w:val="center"/>
        <w:rPr>
          <w:rFonts w:ascii="黑体" w:eastAsia="黑体" w:cs="黑体"/>
          <w:color w:val="000000"/>
          <w:kern w:val="0"/>
          <w:sz w:val="70"/>
          <w:szCs w:val="70"/>
        </w:rPr>
      </w:pPr>
      <w:r>
        <w:rPr>
          <w:rFonts w:hint="eastAsia" w:ascii="黑体" w:eastAsia="黑体" w:cs="黑体"/>
          <w:color w:val="000000"/>
          <w:kern w:val="0"/>
          <w:sz w:val="70"/>
          <w:szCs w:val="70"/>
        </w:rPr>
        <w:t>附件</w:t>
      </w:r>
    </w:p>
    <w:p>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pPr>
        <w:ind w:firstLine="640" w:firstLineChars="200"/>
        <w:jc w:val="center"/>
        <w:rPr>
          <w:rFonts w:ascii="宋体" w:hAnsi="宋体" w:cs="黑体"/>
          <w:b/>
          <w:color w:val="000000"/>
          <w:kern w:val="0"/>
          <w:sz w:val="32"/>
          <w:szCs w:val="32"/>
        </w:rPr>
      </w:pPr>
      <w:r>
        <w:rPr>
          <w:rFonts w:hint="eastAsia" w:ascii="宋体" w:hAnsi="宋体" w:cs="黑体"/>
          <w:b/>
          <w:color w:val="000000"/>
          <w:kern w:val="0"/>
          <w:sz w:val="32"/>
          <w:szCs w:val="32"/>
        </w:rPr>
        <w:t>2019年度部门整体支出绩效评价报告</w:t>
      </w:r>
    </w:p>
    <w:p>
      <w:pPr>
        <w:widowControl/>
        <w:spacing w:line="560" w:lineRule="exact"/>
        <w:ind w:firstLine="640" w:firstLineChars="200"/>
        <w:jc w:val="left"/>
        <w:rPr>
          <w:rFonts w:ascii="仿宋" w:hAnsi="仿宋" w:eastAsia="仿宋" w:cs="宋体"/>
          <w:b/>
          <w:kern w:val="0"/>
          <w:sz w:val="32"/>
          <w:szCs w:val="32"/>
        </w:rPr>
      </w:pPr>
      <w:r>
        <w:rPr>
          <w:rFonts w:hint="eastAsia" w:ascii="仿宋" w:hAnsi="仿宋" w:eastAsia="仿宋" w:cs="宋体"/>
          <w:b/>
          <w:kern w:val="0"/>
          <w:sz w:val="32"/>
          <w:szCs w:val="32"/>
        </w:rPr>
        <w:t>一、基本情况</w:t>
      </w:r>
    </w:p>
    <w:p>
      <w:pPr>
        <w:spacing w:line="560" w:lineRule="exact"/>
        <w:ind w:firstLine="640" w:firstLineChars="200"/>
        <w:jc w:val="left"/>
        <w:rPr>
          <w:rFonts w:ascii="仿宋" w:hAnsi="仿宋" w:eastAsia="仿宋"/>
          <w:sz w:val="32"/>
          <w:szCs w:val="32"/>
        </w:rPr>
      </w:pPr>
      <w:r>
        <w:rPr>
          <w:rFonts w:ascii="仿宋" w:hAnsi="仿宋" w:eastAsia="仿宋"/>
          <w:sz w:val="32"/>
          <w:szCs w:val="32"/>
        </w:rPr>
        <w:t>1</w:t>
      </w:r>
      <w:r>
        <w:rPr>
          <w:rFonts w:hint="eastAsia" w:ascii="仿宋" w:hAnsi="仿宋" w:eastAsia="仿宋"/>
          <w:sz w:val="32"/>
          <w:szCs w:val="32"/>
        </w:rPr>
        <w:t>、单位机构设置：鹤城区城市管理和综合执法局是全额拨款的行政单位，内设</w:t>
      </w:r>
      <w:r>
        <w:rPr>
          <w:rFonts w:ascii="仿宋" w:hAnsi="仿宋" w:eastAsia="仿宋"/>
          <w:sz w:val="32"/>
          <w:szCs w:val="32"/>
        </w:rPr>
        <w:t>8</w:t>
      </w:r>
      <w:r>
        <w:rPr>
          <w:rFonts w:hint="eastAsia" w:ascii="仿宋" w:hAnsi="仿宋" w:eastAsia="仿宋"/>
          <w:sz w:val="32"/>
          <w:szCs w:val="32"/>
        </w:rPr>
        <w:t>个职能股室：办公室、政策法规股、市容管理股、违法建设管理股、执法督查室（加挂考评办）、投诉举报中心（加挂信访维稳办）、财务装备股（加挂处罚中心）、人事教育股，另设立机动大队及七个派出执法大队。</w:t>
      </w:r>
    </w:p>
    <w:p>
      <w:pPr>
        <w:spacing w:line="560" w:lineRule="exact"/>
        <w:jc w:val="left"/>
        <w:rPr>
          <w:rFonts w:ascii="仿宋" w:hAnsi="仿宋" w:eastAsia="仿宋"/>
          <w:sz w:val="32"/>
          <w:szCs w:val="32"/>
        </w:rPr>
      </w:pPr>
      <w:r>
        <w:rPr>
          <w:rFonts w:ascii="仿宋" w:hAnsi="仿宋" w:eastAsia="仿宋"/>
          <w:sz w:val="32"/>
          <w:szCs w:val="32"/>
        </w:rPr>
        <w:t xml:space="preserve">    2</w:t>
      </w:r>
      <w:r>
        <w:rPr>
          <w:rFonts w:hint="eastAsia" w:ascii="仿宋" w:hAnsi="仿宋" w:eastAsia="仿宋"/>
          <w:sz w:val="32"/>
          <w:szCs w:val="32"/>
        </w:rPr>
        <w:t>、编制人员情况（含二级机构）：局机关核定编制数</w:t>
      </w:r>
      <w:r>
        <w:rPr>
          <w:rFonts w:ascii="仿宋" w:hAnsi="仿宋" w:eastAsia="仿宋"/>
          <w:sz w:val="32"/>
          <w:szCs w:val="32"/>
        </w:rPr>
        <w:t>31</w:t>
      </w:r>
      <w:r>
        <w:rPr>
          <w:rFonts w:hint="eastAsia" w:ascii="仿宋" w:hAnsi="仿宋" w:eastAsia="仿宋"/>
          <w:sz w:val="32"/>
          <w:szCs w:val="32"/>
        </w:rPr>
        <w:t>人（其中：行政编制</w:t>
      </w:r>
      <w:r>
        <w:rPr>
          <w:rFonts w:ascii="仿宋" w:hAnsi="仿宋" w:eastAsia="仿宋"/>
          <w:sz w:val="32"/>
          <w:szCs w:val="32"/>
        </w:rPr>
        <w:t>6</w:t>
      </w:r>
      <w:r>
        <w:rPr>
          <w:rFonts w:hint="eastAsia" w:ascii="仿宋" w:hAnsi="仿宋" w:eastAsia="仿宋"/>
          <w:sz w:val="32"/>
          <w:szCs w:val="32"/>
        </w:rPr>
        <w:t>人、全额事业编制</w:t>
      </w:r>
      <w:r>
        <w:rPr>
          <w:rFonts w:ascii="仿宋" w:hAnsi="仿宋" w:eastAsia="仿宋"/>
          <w:sz w:val="32"/>
          <w:szCs w:val="32"/>
        </w:rPr>
        <w:t>25</w:t>
      </w:r>
      <w:r>
        <w:rPr>
          <w:rFonts w:hint="eastAsia" w:ascii="仿宋" w:hAnsi="仿宋" w:eastAsia="仿宋"/>
          <w:sz w:val="32"/>
          <w:szCs w:val="32"/>
        </w:rPr>
        <w:t>人）；各大队核定全额拨款事业编制354人。</w:t>
      </w:r>
    </w:p>
    <w:p>
      <w:pPr>
        <w:spacing w:line="560" w:lineRule="exact"/>
        <w:ind w:firstLine="645"/>
        <w:rPr>
          <w:rFonts w:ascii="仿宋" w:hAnsi="仿宋" w:eastAsia="仿宋"/>
          <w:b/>
          <w:sz w:val="32"/>
          <w:szCs w:val="32"/>
        </w:rPr>
      </w:pPr>
      <w:r>
        <w:rPr>
          <w:rFonts w:hint="eastAsia" w:ascii="仿宋" w:hAnsi="仿宋" w:eastAsia="仿宋"/>
          <w:b/>
          <w:sz w:val="32"/>
          <w:szCs w:val="32"/>
        </w:rPr>
        <w:t>二、收入决算</w:t>
      </w:r>
    </w:p>
    <w:p>
      <w:pPr>
        <w:spacing w:line="560" w:lineRule="exact"/>
        <w:ind w:firstLine="645"/>
        <w:rPr>
          <w:rFonts w:ascii="仿宋" w:hAnsi="仿宋" w:eastAsia="仿宋"/>
          <w:sz w:val="32"/>
          <w:szCs w:val="32"/>
        </w:rPr>
      </w:pPr>
      <w:r>
        <w:rPr>
          <w:rFonts w:ascii="仿宋" w:hAnsi="仿宋" w:eastAsia="仿宋"/>
          <w:sz w:val="32"/>
          <w:szCs w:val="32"/>
        </w:rPr>
        <w:t>201</w:t>
      </w:r>
      <w:r>
        <w:rPr>
          <w:rFonts w:hint="eastAsia" w:ascii="仿宋" w:hAnsi="仿宋" w:eastAsia="仿宋"/>
          <w:sz w:val="32"/>
          <w:szCs w:val="32"/>
        </w:rPr>
        <w:t>9年决算数4364.91万元，公共预算财政拨款4364.91万元。</w:t>
      </w:r>
    </w:p>
    <w:p>
      <w:pPr>
        <w:spacing w:line="560" w:lineRule="exact"/>
        <w:ind w:firstLine="640" w:firstLineChars="200"/>
        <w:rPr>
          <w:rFonts w:ascii="仿宋" w:hAnsi="仿宋" w:eastAsia="仿宋"/>
          <w:b/>
          <w:sz w:val="32"/>
          <w:szCs w:val="32"/>
        </w:rPr>
      </w:pPr>
      <w:r>
        <w:rPr>
          <w:rFonts w:hint="eastAsia" w:ascii="仿宋" w:hAnsi="仿宋" w:eastAsia="仿宋"/>
          <w:b/>
          <w:sz w:val="32"/>
          <w:szCs w:val="32"/>
        </w:rPr>
        <w:t>三、支出决算</w:t>
      </w:r>
    </w:p>
    <w:p>
      <w:pPr>
        <w:spacing w:line="560" w:lineRule="exact"/>
        <w:ind w:firstLine="640" w:firstLineChars="200"/>
        <w:rPr>
          <w:rFonts w:ascii="仿宋" w:hAnsi="仿宋" w:eastAsia="仿宋"/>
          <w:sz w:val="32"/>
          <w:szCs w:val="32"/>
        </w:rPr>
      </w:pPr>
      <w:r>
        <w:rPr>
          <w:rFonts w:ascii="仿宋" w:hAnsi="仿宋" w:eastAsia="仿宋"/>
          <w:sz w:val="32"/>
          <w:szCs w:val="32"/>
        </w:rPr>
        <w:t>201</w:t>
      </w:r>
      <w:r>
        <w:rPr>
          <w:rFonts w:hint="eastAsia" w:ascii="仿宋" w:hAnsi="仿宋" w:eastAsia="仿宋"/>
          <w:sz w:val="32"/>
          <w:szCs w:val="32"/>
        </w:rPr>
        <w:t>9年决算数4274.18万元，人员经费支出3573.56万元（其中包括工资福利支出3360.78万元、对个人和家庭的补助支出212.78万元）</w:t>
      </w:r>
      <w:r>
        <w:rPr>
          <w:rFonts w:ascii="仿宋" w:hAnsi="仿宋" w:eastAsia="仿宋"/>
          <w:sz w:val="32"/>
          <w:szCs w:val="32"/>
        </w:rPr>
        <w:t>,</w:t>
      </w:r>
      <w:r>
        <w:rPr>
          <w:rFonts w:hint="eastAsia" w:ascii="仿宋" w:hAnsi="仿宋" w:eastAsia="仿宋"/>
          <w:sz w:val="32"/>
          <w:szCs w:val="32"/>
        </w:rPr>
        <w:t>日常公用经费700.62万元，其中“三公”经费28.65万元（车辆维护运行费用28.65万元、公务接待0万元）</w:t>
      </w:r>
      <w:r>
        <w:rPr>
          <w:rFonts w:ascii="仿宋" w:hAnsi="仿宋" w:eastAsia="仿宋"/>
          <w:sz w:val="32"/>
          <w:szCs w:val="32"/>
        </w:rPr>
        <w:t>,</w:t>
      </w:r>
      <w:r>
        <w:rPr>
          <w:rFonts w:hint="eastAsia" w:ascii="仿宋" w:hAnsi="仿宋" w:eastAsia="仿宋"/>
          <w:sz w:val="32"/>
          <w:szCs w:val="32"/>
        </w:rPr>
        <w:t>比上年支出有所减少。</w:t>
      </w:r>
    </w:p>
    <w:p>
      <w:pPr>
        <w:widowControl/>
        <w:spacing w:line="560" w:lineRule="exact"/>
        <w:ind w:firstLine="640" w:firstLineChars="200"/>
        <w:jc w:val="left"/>
        <w:rPr>
          <w:rFonts w:ascii="仿宋" w:hAnsi="仿宋" w:eastAsia="仿宋" w:cs="宋体"/>
          <w:b/>
          <w:kern w:val="0"/>
          <w:sz w:val="32"/>
          <w:szCs w:val="32"/>
        </w:rPr>
      </w:pPr>
      <w:r>
        <w:rPr>
          <w:rFonts w:hint="eastAsia" w:ascii="仿宋" w:hAnsi="仿宋" w:eastAsia="仿宋" w:cs="宋体"/>
          <w:b/>
          <w:kern w:val="0"/>
          <w:sz w:val="32"/>
          <w:szCs w:val="32"/>
        </w:rPr>
        <w:t>四、整体支出绩效目标</w:t>
      </w:r>
    </w:p>
    <w:p>
      <w:pPr>
        <w:widowControl/>
        <w:spacing w:line="560" w:lineRule="exact"/>
        <w:ind w:firstLine="640" w:firstLineChars="200"/>
        <w:jc w:val="left"/>
        <w:rPr>
          <w:rFonts w:ascii="仿宋" w:hAnsi="仿宋" w:eastAsia="仿宋" w:cs="宋体"/>
          <w:kern w:val="0"/>
          <w:sz w:val="32"/>
          <w:szCs w:val="32"/>
        </w:rPr>
      </w:pPr>
      <w:r>
        <w:rPr>
          <w:rFonts w:hint="eastAsia" w:ascii="仿宋" w:hAnsi="仿宋" w:eastAsia="仿宋" w:cs="宋体"/>
          <w:kern w:val="0"/>
          <w:sz w:val="32"/>
          <w:szCs w:val="32"/>
        </w:rPr>
        <w:t>预决算公开：</w:t>
      </w:r>
      <w:r>
        <w:rPr>
          <w:rFonts w:ascii="仿宋" w:hAnsi="仿宋" w:eastAsia="仿宋" w:cs="宋体"/>
          <w:kern w:val="0"/>
          <w:sz w:val="32"/>
          <w:szCs w:val="32"/>
        </w:rPr>
        <w:t>201</w:t>
      </w:r>
      <w:r>
        <w:rPr>
          <w:rFonts w:hint="eastAsia" w:ascii="仿宋" w:hAnsi="仿宋" w:eastAsia="仿宋" w:cs="宋体"/>
          <w:kern w:val="0"/>
          <w:sz w:val="32"/>
          <w:szCs w:val="32"/>
        </w:rPr>
        <w:t>9年，按照上级的要求，在网站上进行了预决算公开。</w:t>
      </w:r>
    </w:p>
    <w:p>
      <w:pPr>
        <w:widowControl/>
        <w:spacing w:line="560" w:lineRule="exact"/>
        <w:ind w:firstLine="640" w:firstLineChars="200"/>
        <w:jc w:val="left"/>
        <w:rPr>
          <w:rFonts w:ascii="仿宋" w:hAnsi="仿宋" w:eastAsia="仿宋" w:cs="宋体"/>
          <w:kern w:val="0"/>
          <w:sz w:val="32"/>
          <w:szCs w:val="32"/>
        </w:rPr>
      </w:pPr>
      <w:r>
        <w:rPr>
          <w:rFonts w:hint="eastAsia" w:ascii="仿宋" w:hAnsi="仿宋" w:eastAsia="仿宋" w:cs="宋体"/>
          <w:kern w:val="0"/>
          <w:sz w:val="32"/>
          <w:szCs w:val="32"/>
        </w:rPr>
        <w:t>资产管理：根据《怀化市鹤城区行政、企事业单位国有资产清查工作的通知》，组织局机关及局属各部门进行全面的资产清查，并就清查中发现的问题进行全面整改。完善了财务管理制度，确保各项资产核算准确、帐实相符、管理到位。</w:t>
      </w:r>
    </w:p>
    <w:p>
      <w:pPr>
        <w:widowControl/>
        <w:spacing w:line="560" w:lineRule="exact"/>
        <w:ind w:firstLine="640" w:firstLineChars="200"/>
        <w:jc w:val="left"/>
        <w:rPr>
          <w:rFonts w:ascii="仿宋" w:hAnsi="仿宋" w:eastAsia="仿宋" w:cs="宋体"/>
          <w:kern w:val="0"/>
          <w:sz w:val="32"/>
          <w:szCs w:val="32"/>
        </w:rPr>
      </w:pPr>
      <w:r>
        <w:rPr>
          <w:rFonts w:hint="eastAsia" w:ascii="仿宋" w:hAnsi="仿宋" w:eastAsia="仿宋" w:cs="宋体"/>
          <w:kern w:val="0"/>
          <w:sz w:val="32"/>
          <w:szCs w:val="32"/>
        </w:rPr>
        <w:t xml:space="preserve">“三公经费”控制情况：贯彻落实上级有关精神，严格控制“三公经费”支出，取得了良好效果。                                             </w:t>
      </w:r>
    </w:p>
    <w:p>
      <w:pPr>
        <w:widowControl/>
        <w:spacing w:line="560" w:lineRule="exact"/>
        <w:ind w:firstLine="640" w:firstLineChars="200"/>
        <w:jc w:val="left"/>
        <w:rPr>
          <w:rFonts w:ascii="仿宋" w:hAnsi="仿宋" w:eastAsia="仿宋" w:cs="宋体"/>
          <w:kern w:val="0"/>
          <w:sz w:val="32"/>
          <w:szCs w:val="32"/>
        </w:rPr>
      </w:pPr>
      <w:r>
        <w:rPr>
          <w:rFonts w:hint="eastAsia" w:ascii="仿宋" w:hAnsi="仿宋" w:eastAsia="仿宋" w:cs="宋体"/>
          <w:kern w:val="0"/>
          <w:sz w:val="32"/>
          <w:szCs w:val="32"/>
        </w:rPr>
        <w:t>内部管理制度建设情况：近年来，我局制定、完善了《城市管理和行政执法局财务管理制度》、《城市管理和行政执法局内控管理制度》等一系列内部制度。</w:t>
      </w:r>
    </w:p>
    <w:p>
      <w:pPr>
        <w:widowControl/>
        <w:spacing w:line="560" w:lineRule="exact"/>
        <w:ind w:firstLine="640" w:firstLineChars="200"/>
        <w:jc w:val="left"/>
        <w:rPr>
          <w:rFonts w:ascii="仿宋" w:hAnsi="仿宋" w:eastAsia="仿宋" w:cs="宋体"/>
          <w:b/>
          <w:kern w:val="0"/>
          <w:sz w:val="32"/>
          <w:szCs w:val="32"/>
        </w:rPr>
      </w:pPr>
      <w:r>
        <w:rPr>
          <w:rFonts w:hint="eastAsia" w:ascii="仿宋" w:hAnsi="仿宋" w:eastAsia="仿宋" w:cs="宋体"/>
          <w:b/>
          <w:kern w:val="0"/>
          <w:sz w:val="32"/>
          <w:szCs w:val="32"/>
        </w:rPr>
        <w:t>五、部门整体支出情况分析</w:t>
      </w:r>
    </w:p>
    <w:p>
      <w:pPr>
        <w:widowControl/>
        <w:spacing w:line="560" w:lineRule="exact"/>
        <w:ind w:firstLine="640" w:firstLineChars="200"/>
        <w:jc w:val="left"/>
        <w:rPr>
          <w:rFonts w:ascii="仿宋" w:hAnsi="仿宋" w:eastAsia="仿宋" w:cs="宋体"/>
          <w:kern w:val="0"/>
          <w:sz w:val="32"/>
          <w:szCs w:val="32"/>
        </w:rPr>
      </w:pPr>
      <w:r>
        <w:rPr>
          <w:rFonts w:hint="eastAsia" w:ascii="仿宋" w:hAnsi="仿宋" w:eastAsia="仿宋" w:cs="宋体"/>
          <w:kern w:val="0"/>
          <w:sz w:val="32"/>
          <w:szCs w:val="32"/>
        </w:rPr>
        <w:t>从整体情况来看，我局严格按照年初预算进行部门整体支出。在支出过程中，能严格遵守各项规章制度，“三公经费”明显下降。所有项目都详细制定了方案，严格按方案组织实施，并加强了监督。尤其是在专项经费支出上，我们能专款专用，按项目实施计划的进度情况进行资金拨付，无截留、无挪用等现象。实行了先有预算、后有执行、“用钱必问效、无效必问责”的新常态。</w:t>
      </w:r>
    </w:p>
    <w:p>
      <w:pPr>
        <w:widowControl/>
        <w:spacing w:line="560" w:lineRule="exact"/>
        <w:ind w:firstLine="627" w:firstLineChars="196"/>
        <w:jc w:val="left"/>
        <w:rPr>
          <w:rFonts w:ascii="仿宋" w:hAnsi="仿宋" w:eastAsia="仿宋" w:cs="宋体"/>
          <w:b/>
          <w:kern w:val="0"/>
          <w:sz w:val="32"/>
          <w:szCs w:val="32"/>
        </w:rPr>
      </w:pPr>
      <w:r>
        <w:rPr>
          <w:rFonts w:hint="eastAsia" w:ascii="仿宋" w:hAnsi="仿宋" w:eastAsia="仿宋" w:cs="宋体"/>
          <w:b/>
          <w:kern w:val="0"/>
          <w:sz w:val="32"/>
          <w:szCs w:val="32"/>
        </w:rPr>
        <w:t>六、绩效评价工作情况</w:t>
      </w:r>
    </w:p>
    <w:p>
      <w:pPr>
        <w:widowControl/>
        <w:spacing w:line="560" w:lineRule="exact"/>
        <w:ind w:firstLine="480"/>
        <w:jc w:val="left"/>
        <w:rPr>
          <w:rFonts w:ascii="仿宋" w:hAnsi="仿宋" w:eastAsia="仿宋" w:cs="宋体"/>
          <w:kern w:val="0"/>
          <w:sz w:val="32"/>
          <w:szCs w:val="32"/>
        </w:rPr>
      </w:pPr>
      <w:r>
        <w:rPr>
          <w:rFonts w:hint="eastAsia" w:ascii="仿宋" w:hAnsi="仿宋" w:eastAsia="仿宋" w:cs="宋体"/>
          <w:kern w:val="0"/>
          <w:sz w:val="32"/>
          <w:szCs w:val="32"/>
        </w:rPr>
        <w:t>（一）绩效评价目的</w:t>
      </w:r>
    </w:p>
    <w:p>
      <w:pPr>
        <w:widowControl/>
        <w:spacing w:line="560" w:lineRule="exact"/>
        <w:ind w:firstLine="480"/>
        <w:jc w:val="left"/>
        <w:rPr>
          <w:rFonts w:ascii="仿宋" w:hAnsi="仿宋" w:eastAsia="仿宋" w:cs="宋体"/>
          <w:kern w:val="0"/>
          <w:sz w:val="32"/>
          <w:szCs w:val="32"/>
        </w:rPr>
      </w:pPr>
      <w:r>
        <w:rPr>
          <w:rFonts w:hint="eastAsia" w:ascii="仿宋" w:hAnsi="仿宋" w:eastAsia="仿宋" w:cs="宋体"/>
          <w:kern w:val="0"/>
          <w:sz w:val="32"/>
          <w:szCs w:val="32"/>
        </w:rPr>
        <w:t>此次绩效评价的目的是：严格落实《预算法》及区绩效管理工作的有关规定，进一步规范财政资金的管理，强化财政支出绩效理念，提升部门责任意识，提高资金使用效益，促进局各项工作全面开展。</w:t>
      </w:r>
    </w:p>
    <w:p>
      <w:pPr>
        <w:widowControl/>
        <w:spacing w:line="560" w:lineRule="exact"/>
        <w:ind w:firstLine="480"/>
        <w:jc w:val="left"/>
        <w:rPr>
          <w:rFonts w:ascii="仿宋" w:hAnsi="仿宋" w:eastAsia="仿宋" w:cs="宋体"/>
          <w:kern w:val="0"/>
          <w:sz w:val="32"/>
          <w:szCs w:val="32"/>
        </w:rPr>
      </w:pPr>
      <w:r>
        <w:rPr>
          <w:rFonts w:hint="eastAsia" w:ascii="仿宋" w:hAnsi="仿宋" w:eastAsia="仿宋" w:cs="宋体"/>
          <w:kern w:val="0"/>
          <w:sz w:val="32"/>
          <w:szCs w:val="32"/>
        </w:rPr>
        <w:t>（二）绩效评价的主要过程</w:t>
      </w:r>
    </w:p>
    <w:p>
      <w:pPr>
        <w:widowControl/>
        <w:spacing w:line="560" w:lineRule="exact"/>
        <w:ind w:firstLine="480"/>
        <w:jc w:val="left"/>
        <w:rPr>
          <w:rFonts w:ascii="仿宋" w:hAnsi="仿宋" w:eastAsia="仿宋" w:cs="宋体"/>
          <w:kern w:val="0"/>
          <w:sz w:val="32"/>
          <w:szCs w:val="32"/>
        </w:rPr>
      </w:pPr>
      <w:r>
        <w:rPr>
          <w:rFonts w:hint="eastAsia" w:ascii="仿宋" w:hAnsi="仿宋" w:eastAsia="仿宋" w:cs="宋体"/>
          <w:kern w:val="0"/>
          <w:sz w:val="32"/>
          <w:szCs w:val="32"/>
        </w:rPr>
        <w:t>根据绩效评价的要求，我们成立了自评工作领导小组，对照自评方案进行研究和布署，党组成员、局属各部门及机关各股室全程参与，按照自评方案的要求，对照各实施项目的内容逐条逐项自评。在自评过程发现问题，查找原因，及时纠正偏差，为下一步工作夯实基础。</w:t>
      </w:r>
    </w:p>
    <w:p>
      <w:pPr>
        <w:widowControl/>
        <w:spacing w:line="560" w:lineRule="exact"/>
        <w:ind w:firstLine="640" w:firstLineChars="200"/>
        <w:jc w:val="left"/>
        <w:rPr>
          <w:rFonts w:ascii="仿宋" w:hAnsi="仿宋" w:eastAsia="仿宋" w:cs="宋体"/>
          <w:b/>
          <w:kern w:val="0"/>
          <w:sz w:val="32"/>
          <w:szCs w:val="32"/>
        </w:rPr>
      </w:pPr>
      <w:r>
        <w:rPr>
          <w:rFonts w:hint="eastAsia" w:ascii="仿宋" w:hAnsi="仿宋" w:eastAsia="仿宋" w:cs="宋体"/>
          <w:b/>
          <w:kern w:val="0"/>
          <w:sz w:val="32"/>
          <w:szCs w:val="32"/>
        </w:rPr>
        <w:t>七、主要绩效及评价结论</w:t>
      </w:r>
    </w:p>
    <w:p>
      <w:pPr>
        <w:widowControl/>
        <w:spacing w:line="560" w:lineRule="exact"/>
        <w:ind w:firstLine="640" w:firstLineChars="200"/>
        <w:jc w:val="left"/>
        <w:rPr>
          <w:rFonts w:ascii="仿宋" w:hAnsi="仿宋" w:eastAsia="仿宋" w:cs="宋体"/>
          <w:kern w:val="0"/>
          <w:sz w:val="32"/>
          <w:szCs w:val="32"/>
        </w:rPr>
      </w:pPr>
      <w:r>
        <w:rPr>
          <w:rFonts w:ascii="仿宋" w:hAnsi="仿宋" w:eastAsia="仿宋" w:cs="宋体"/>
          <w:kern w:val="0"/>
          <w:sz w:val="32"/>
          <w:szCs w:val="32"/>
        </w:rPr>
        <w:t>201</w:t>
      </w:r>
      <w:r>
        <w:rPr>
          <w:rFonts w:hint="eastAsia" w:ascii="仿宋" w:hAnsi="仿宋" w:eastAsia="仿宋" w:cs="宋体"/>
          <w:kern w:val="0"/>
          <w:sz w:val="32"/>
          <w:szCs w:val="32"/>
        </w:rPr>
        <w:t>9年，在区委、区政府的正确领导下，我们紧紧围绕年度目标任务，团结拼搏，锐意进取，扎实工作，全面完成了各项工作任务，并达到上级各部门工作要求。</w:t>
      </w:r>
    </w:p>
    <w:p>
      <w:pPr>
        <w:widowControl/>
        <w:spacing w:line="560" w:lineRule="exact"/>
        <w:ind w:firstLine="640" w:firstLineChars="200"/>
        <w:jc w:val="left"/>
        <w:rPr>
          <w:rFonts w:ascii="仿宋" w:hAnsi="仿宋" w:eastAsia="仿宋" w:cs="宋体"/>
          <w:b/>
          <w:kern w:val="0"/>
          <w:sz w:val="32"/>
          <w:szCs w:val="32"/>
        </w:rPr>
      </w:pPr>
      <w:r>
        <w:rPr>
          <w:rFonts w:hint="eastAsia" w:ascii="仿宋" w:hAnsi="仿宋" w:eastAsia="仿宋" w:cs="宋体"/>
          <w:b/>
          <w:kern w:val="0"/>
          <w:sz w:val="32"/>
          <w:szCs w:val="32"/>
        </w:rPr>
        <w:t>八、存在的主要问题</w:t>
      </w:r>
    </w:p>
    <w:p>
      <w:pPr>
        <w:widowControl/>
        <w:spacing w:line="560" w:lineRule="exact"/>
        <w:ind w:firstLine="640" w:firstLineChars="200"/>
        <w:jc w:val="left"/>
        <w:rPr>
          <w:rFonts w:ascii="仿宋" w:hAnsi="仿宋" w:eastAsia="仿宋" w:cs="宋体"/>
          <w:kern w:val="0"/>
          <w:sz w:val="32"/>
          <w:szCs w:val="32"/>
        </w:rPr>
      </w:pPr>
      <w:r>
        <w:rPr>
          <w:rFonts w:hint="eastAsia" w:ascii="仿宋" w:hAnsi="仿宋" w:eastAsia="仿宋" w:cs="宋体"/>
          <w:kern w:val="0"/>
          <w:sz w:val="32"/>
          <w:szCs w:val="32"/>
        </w:rPr>
        <w:t>一是资金使用效益有待进一步提高。二是绩效目标设立不够明确、细化和量化。项目单位虽然设立了项目资金绩效目标，但目标不够明确、细化和量化。</w:t>
      </w:r>
    </w:p>
    <w:p>
      <w:pPr>
        <w:ind w:firstLine="640" w:firstLineChars="200"/>
        <w:jc w:val="left"/>
        <w:rPr>
          <w:rFonts w:ascii="宋体" w:hAnsi="宋体" w:cs="黑体"/>
          <w:color w:val="000000"/>
          <w:kern w:val="0"/>
          <w:sz w:val="32"/>
          <w:szCs w:val="32"/>
        </w:rPr>
      </w:pPr>
    </w:p>
    <w:sectPr>
      <w:pgSz w:w="11906" w:h="16838"/>
      <w:pgMar w:top="720" w:right="720" w:bottom="720" w:left="720"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506F9"/>
    <w:rsid w:val="0000425E"/>
    <w:rsid w:val="0002229B"/>
    <w:rsid w:val="00022385"/>
    <w:rsid w:val="000273BD"/>
    <w:rsid w:val="000415B7"/>
    <w:rsid w:val="000653F9"/>
    <w:rsid w:val="000658A3"/>
    <w:rsid w:val="00074155"/>
    <w:rsid w:val="00081907"/>
    <w:rsid w:val="000A3F69"/>
    <w:rsid w:val="00152C6D"/>
    <w:rsid w:val="00162D39"/>
    <w:rsid w:val="00182683"/>
    <w:rsid w:val="001A67DB"/>
    <w:rsid w:val="001D51E5"/>
    <w:rsid w:val="001E0CD3"/>
    <w:rsid w:val="001F0C3B"/>
    <w:rsid w:val="00214427"/>
    <w:rsid w:val="00265724"/>
    <w:rsid w:val="0027426B"/>
    <w:rsid w:val="002B5C60"/>
    <w:rsid w:val="003063BE"/>
    <w:rsid w:val="003479BD"/>
    <w:rsid w:val="003768D5"/>
    <w:rsid w:val="004506F9"/>
    <w:rsid w:val="004717A2"/>
    <w:rsid w:val="00491741"/>
    <w:rsid w:val="00500E5F"/>
    <w:rsid w:val="005122EF"/>
    <w:rsid w:val="00517C33"/>
    <w:rsid w:val="00523644"/>
    <w:rsid w:val="0054069E"/>
    <w:rsid w:val="005767CC"/>
    <w:rsid w:val="00590D9F"/>
    <w:rsid w:val="00595D26"/>
    <w:rsid w:val="005A74E6"/>
    <w:rsid w:val="005D4D55"/>
    <w:rsid w:val="005E2CFB"/>
    <w:rsid w:val="0062378F"/>
    <w:rsid w:val="00651EEC"/>
    <w:rsid w:val="00652413"/>
    <w:rsid w:val="00676B70"/>
    <w:rsid w:val="00693DD2"/>
    <w:rsid w:val="006A351B"/>
    <w:rsid w:val="006B0422"/>
    <w:rsid w:val="006C1B53"/>
    <w:rsid w:val="006C71D2"/>
    <w:rsid w:val="006D7730"/>
    <w:rsid w:val="006E5284"/>
    <w:rsid w:val="006F3EB5"/>
    <w:rsid w:val="00702E34"/>
    <w:rsid w:val="00704395"/>
    <w:rsid w:val="00720FF1"/>
    <w:rsid w:val="007453A0"/>
    <w:rsid w:val="007E05F0"/>
    <w:rsid w:val="00812ED5"/>
    <w:rsid w:val="008277D9"/>
    <w:rsid w:val="00843BCA"/>
    <w:rsid w:val="008A3E8D"/>
    <w:rsid w:val="008D5FC7"/>
    <w:rsid w:val="009237C4"/>
    <w:rsid w:val="00950252"/>
    <w:rsid w:val="00967F5D"/>
    <w:rsid w:val="009A0F95"/>
    <w:rsid w:val="009B3ADF"/>
    <w:rsid w:val="009C3B52"/>
    <w:rsid w:val="00A42218"/>
    <w:rsid w:val="00A70249"/>
    <w:rsid w:val="00B33BEA"/>
    <w:rsid w:val="00B57C9F"/>
    <w:rsid w:val="00B845B3"/>
    <w:rsid w:val="00B85D8B"/>
    <w:rsid w:val="00BC7861"/>
    <w:rsid w:val="00BE3674"/>
    <w:rsid w:val="00C3049A"/>
    <w:rsid w:val="00C31B1E"/>
    <w:rsid w:val="00C43686"/>
    <w:rsid w:val="00C63244"/>
    <w:rsid w:val="00C77645"/>
    <w:rsid w:val="00CE04C3"/>
    <w:rsid w:val="00CE76A0"/>
    <w:rsid w:val="00D148C6"/>
    <w:rsid w:val="00D17BAE"/>
    <w:rsid w:val="00D63FF4"/>
    <w:rsid w:val="00DA2427"/>
    <w:rsid w:val="00DC3221"/>
    <w:rsid w:val="00DD06FF"/>
    <w:rsid w:val="00DD5FE9"/>
    <w:rsid w:val="00DF3026"/>
    <w:rsid w:val="00E00C7A"/>
    <w:rsid w:val="00E211A9"/>
    <w:rsid w:val="00E55B68"/>
    <w:rsid w:val="00EF5F18"/>
    <w:rsid w:val="00F74360"/>
    <w:rsid w:val="00FB462F"/>
    <w:rsid w:val="00FC0BC1"/>
    <w:rsid w:val="00FE16FA"/>
    <w:rsid w:val="00FE328A"/>
    <w:rsid w:val="00FE699B"/>
    <w:rsid w:val="0AEE1C83"/>
    <w:rsid w:val="34872FE3"/>
    <w:rsid w:val="408E439F"/>
    <w:rsid w:val="46996081"/>
    <w:rsid w:val="605E6494"/>
    <w:rsid w:val="6857569E"/>
    <w:rsid w:val="6AA411AD"/>
    <w:rsid w:val="75E50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unhideWhenUsed/>
    <w:qFormat/>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Balloon Text"/>
    <w:basedOn w:val="1"/>
    <w:link w:val="7"/>
    <w:unhideWhenUsed/>
    <w:uiPriority w:val="99"/>
    <w:rPr>
      <w:sz w:val="18"/>
      <w:szCs w:val="18"/>
    </w:rPr>
  </w:style>
  <w:style w:type="paragraph" w:styleId="3">
    <w:name w:val="footer"/>
    <w:basedOn w:val="1"/>
    <w:link w:val="8"/>
    <w:unhideWhenUsed/>
    <w:uiPriority w:val="99"/>
    <w:pPr>
      <w:tabs>
        <w:tab w:val="center" w:pos="4153"/>
        <w:tab w:val="right" w:pos="8306"/>
      </w:tabs>
      <w:snapToGrid w:val="0"/>
      <w:jc w:val="left"/>
    </w:pPr>
    <w:rPr>
      <w:sz w:val="18"/>
      <w:szCs w:val="18"/>
    </w:rPr>
  </w:style>
  <w:style w:type="paragraph" w:styleId="4">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批注框文本 Char"/>
    <w:basedOn w:val="6"/>
    <w:link w:val="2"/>
    <w:semiHidden/>
    <w:uiPriority w:val="99"/>
    <w:rPr>
      <w:sz w:val="18"/>
      <w:szCs w:val="18"/>
    </w:rPr>
  </w:style>
  <w:style w:type="character" w:customStyle="1" w:styleId="8">
    <w:name w:val="页脚 Char"/>
    <w:basedOn w:val="6"/>
    <w:link w:val="3"/>
    <w:uiPriority w:val="99"/>
    <w:rPr>
      <w:sz w:val="18"/>
      <w:szCs w:val="18"/>
    </w:rPr>
  </w:style>
  <w:style w:type="character" w:customStyle="1" w:styleId="9">
    <w:name w:val="页眉 Char"/>
    <w:basedOn w:val="6"/>
    <w:link w:val="4"/>
    <w:uiPriority w:val="99"/>
    <w:rPr>
      <w:sz w:val="18"/>
      <w:szCs w:val="18"/>
    </w:rPr>
  </w:style>
  <w:style w:type="paragraph" w:styleId="10">
    <w:name w:val="List Paragraph"/>
    <w:basedOn w:val="1"/>
    <w:qFormat/>
    <w:uiPriority w:val="34"/>
    <w:pPr>
      <w:ind w:firstLine="420" w:firstLineChars="200"/>
    </w:pPr>
  </w:style>
  <w:style w:type="paragraph" w:customStyle="1" w:styleId="11">
    <w:name w:val="Default"/>
    <w:uiPriority w:val="0"/>
    <w:pPr>
      <w:widowControl w:val="0"/>
      <w:autoSpaceDE w:val="0"/>
      <w:autoSpaceDN w:val="0"/>
      <w:adjustRightInd w:val="0"/>
    </w:pPr>
    <w:rPr>
      <w:rFonts w:ascii="黑体" w:hAnsi="Calibri" w:eastAsia="黑体" w:cs="黑体"/>
      <w:color w:val="000000"/>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21</Pages>
  <Words>1098</Words>
  <Characters>6260</Characters>
  <Lines>52</Lines>
  <Paragraphs>14</Paragraphs>
  <TotalTime>36</TotalTime>
  <ScaleCrop>false</ScaleCrop>
  <LinksUpToDate>false</LinksUpToDate>
  <CharactersWithSpaces>7344</CharactersWithSpaces>
  <Application>WPS Office_11.1.0.9826_F1E327BC-269C-435d-A152-05C5408002CA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2021-06-03T07:22:00Z</dcterms:created>
  <dc:creator>李航 null</dc:creator>
  <cp:lastModifiedBy>Administrator</cp:lastModifiedBy>
  <cp:lastPrinted>2020-07-15T07:25:00Z</cp:lastPrinted>
  <dcterms:modified xsi:type="dcterms:W3CDTF">2021-02-24T13:00:00Z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2052-11.1.0.9826</vt:lpwstr>
  </property>
</Properties>
</file>