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怀化市象形学校部门决算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第一部分象形学校概况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w:t>
      </w:r>
      <w:r>
        <w:rPr>
          <w:rFonts w:hint="eastAsia" w:ascii="仿宋_GB2312" w:hAnsi="仿宋_GB2312" w:cs="仿宋_GB2312"/>
          <w:color w:val="000000"/>
          <w:kern w:val="0"/>
          <w:sz w:val="28"/>
          <w:szCs w:val="28"/>
        </w:rPr>
        <w:t>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八、一般公共预算财政拨款三公经费支出决算情况说明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九、</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十、预算绩效情况说明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怀化市象形学校概况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怀化市象形学校是全额拨款的事业单位。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10</w:t>
      </w:r>
      <w:r>
        <w:rPr>
          <w:rFonts w:hint="eastAsia" w:cs="仿宋" w:asciiTheme="minorEastAsia" w:hAnsiTheme="minorEastAsia"/>
          <w:sz w:val="32"/>
          <w:szCs w:val="32"/>
        </w:rPr>
        <w:t>个职能处室：学校办公室、校长室、工会、党支部、总务处、教务处、德育处、教研室、财务室、团队处。</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（二）决算单位构成：怀化市象形学校本级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年度收入总计1218.22万元。由于2018年学校并未单独填报决算，自2019年开始才作为新增单位开始单独报决算，故无法与上年数据进行对比。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年度支出总计1218.22万元。由于2018年学校并未单独填报决算，自2019年开始才作为新增单位开始单独报决算，故无法与上年数据进行对比。</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本年收入合计1218.22万元，其中：财政拨款收入1129.3万元，占92.7%；上级补助收入0万元，占0%；事业收入0万元，占0%；经营收入0万元，占0%；附属单位上缴收入0万元，占0%；其他收入88.93万元，占7.3%。</w:t>
      </w:r>
    </w:p>
    <w:p>
      <w:pPr>
        <w:pStyle w:val="9"/>
        <w:rPr>
          <w:rFonts w:hAnsi="黑体"/>
          <w:b/>
          <w:sz w:val="32"/>
          <w:szCs w:val="32"/>
        </w:rPr>
      </w:pPr>
      <w:r>
        <w:rPr>
          <w:rFonts w:hint="eastAsia" w:hAnsi="黑体"/>
          <w:b/>
          <w:sz w:val="32"/>
          <w:szCs w:val="32"/>
        </w:rPr>
        <w:t xml:space="preserve">    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本年支出合计1218.22万元，其中：基本支出1004.46万元，占82.5%；项目支出213.76万元，占17.5%；上缴上级支出0万元，占0%；经营支出0万元，占0%；对附属单位补助支出0万元，占0%。</w:t>
      </w:r>
    </w:p>
    <w:p>
      <w:pPr>
        <w:pStyle w:val="9"/>
        <w:rPr>
          <w:rFonts w:hAnsi="黑体"/>
          <w:b/>
          <w:sz w:val="32"/>
          <w:szCs w:val="32"/>
        </w:rPr>
      </w:pPr>
      <w:r>
        <w:rPr>
          <w:rFonts w:hint="eastAsia" w:hAnsi="黑体"/>
          <w:b/>
          <w:sz w:val="32"/>
          <w:szCs w:val="32"/>
        </w:rPr>
        <w:t xml:space="preserve">    四、财政拨款收入支出决算总体情况说明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2019年度财政拨款收入总计1129.3万元，由于2018年学校并未单独填报决算，自2019年开始才作为新增单位开始单独报决算，故无法与上年数据进行对比。</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2019年度财政拨款支出总计1129.3万元，由于2018年学校并未单独填报决算，自2019年开始才作为新增单位开始单独报决算，故无法与上年数据进行对比。</w:t>
      </w:r>
    </w:p>
    <w:p>
      <w:pPr>
        <w:pStyle w:val="9"/>
        <w:rPr>
          <w:rFonts w:hAnsi="黑体"/>
          <w:b/>
          <w:color w:val="auto"/>
          <w:sz w:val="32"/>
          <w:szCs w:val="32"/>
        </w:rPr>
      </w:pPr>
      <w:r>
        <w:rPr>
          <w:rFonts w:hint="eastAsia" w:hAnsi="黑体"/>
          <w:b/>
          <w:color w:val="auto"/>
          <w:sz w:val="32"/>
          <w:szCs w:val="32"/>
        </w:rPr>
        <w:t xml:space="preserve">    五、决算收支增减变化情况说明</w:t>
      </w:r>
    </w:p>
    <w:p>
      <w:pPr>
        <w:pStyle w:val="9"/>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 xml:space="preserve">    2019年决算收入合计1218.22万元，</w:t>
      </w:r>
      <w:r>
        <w:rPr>
          <w:rFonts w:hint="eastAsia" w:asciiTheme="minorEastAsia" w:hAnsiTheme="minorEastAsia" w:eastAsiaTheme="minorEastAsia"/>
          <w:sz w:val="32"/>
          <w:szCs w:val="32"/>
        </w:rPr>
        <w:t>由于2018年学校并未单独填报决算，自2019年开始才作为新增单位开始单独报决算，故无法与上年数据进行对比。</w:t>
      </w:r>
    </w:p>
    <w:p>
      <w:pPr>
        <w:pStyle w:val="9"/>
        <w:rPr>
          <w:rFonts w:asciiTheme="minorEastAsia" w:hAnsiTheme="minorEastAsia" w:eastAsiaTheme="minorEastAsia"/>
          <w:b/>
          <w:color w:val="auto"/>
          <w:sz w:val="32"/>
          <w:szCs w:val="32"/>
        </w:rPr>
      </w:pPr>
    </w:p>
    <w:p>
      <w:pPr>
        <w:pStyle w:val="9"/>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 xml:space="preserve">    2019年决算支出合计1218.22万元，</w:t>
      </w:r>
      <w:r>
        <w:rPr>
          <w:rFonts w:hint="eastAsia" w:asciiTheme="minorEastAsia" w:hAnsiTheme="minorEastAsia" w:eastAsiaTheme="minorEastAsia"/>
          <w:sz w:val="32"/>
          <w:szCs w:val="32"/>
        </w:rPr>
        <w:t>由于2018年学校并未单独填报决算，自2019年开始才作为新增单位开始单独报决算，故无法与上年数据进行对比。</w:t>
      </w:r>
    </w:p>
    <w:p>
      <w:pPr>
        <w:pStyle w:val="9"/>
        <w:rPr>
          <w:rFonts w:hAnsi="黑体"/>
          <w:b/>
          <w:sz w:val="32"/>
          <w:szCs w:val="32"/>
        </w:rPr>
      </w:pPr>
      <w:r>
        <w:rPr>
          <w:rFonts w:hint="eastAsia" w:hAnsi="黑体"/>
          <w:b/>
          <w:sz w:val="32"/>
          <w:szCs w:val="32"/>
        </w:rPr>
        <w:t xml:space="preserve">    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2019年度财政拨款支出1129.3万元，占本年支出合计的92.7%，由于2018年学校并未单独填报决算，自2019年开始才作为新增单位开始单独报决算，故无法与上年数据进行对比。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2019年度财政拨款支出1129.3万元，主要用于以下方面：教育支出1129.3万元，占比100%。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w:t>
      </w:r>
      <w:r>
        <w:rPr>
          <w:rFonts w:hint="eastAsia" w:ascii="仿宋_GB2312" w:eastAsia="仿宋_GB2312"/>
          <w:sz w:val="32"/>
          <w:szCs w:val="32"/>
        </w:rPr>
        <w:t>825.43</w:t>
      </w:r>
      <w:r>
        <w:rPr>
          <w:rFonts w:hint="eastAsia" w:asciiTheme="minorEastAsia" w:hAnsiTheme="minorEastAsia" w:eastAsiaTheme="minorEastAsia"/>
          <w:color w:val="000000" w:themeColor="text1"/>
          <w:sz w:val="32"/>
          <w:szCs w:val="32"/>
        </w:rPr>
        <w:t>万元，支出决算数为</w:t>
      </w:r>
      <w:r>
        <w:rPr>
          <w:rFonts w:hint="eastAsia" w:ascii="仿宋_GB2312" w:eastAsia="仿宋_GB2312"/>
          <w:sz w:val="32"/>
          <w:szCs w:val="32"/>
        </w:rPr>
        <w:t>1129.3</w:t>
      </w:r>
      <w:r>
        <w:rPr>
          <w:rFonts w:hint="eastAsia" w:asciiTheme="minorEastAsia" w:hAnsiTheme="minorEastAsia" w:eastAsiaTheme="minorEastAsia"/>
          <w:color w:val="000000" w:themeColor="text1"/>
          <w:sz w:val="32"/>
          <w:szCs w:val="32"/>
        </w:rPr>
        <w:t>万元，完成年初预算的136.8%，其中：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1、普通教育：小学教育205（类）02（款）02（项）。</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w:t>
      </w:r>
      <w:r>
        <w:rPr>
          <w:rFonts w:hint="eastAsia" w:ascii="仿宋_GB2312" w:eastAsia="仿宋_GB2312"/>
          <w:sz w:val="32"/>
          <w:szCs w:val="32"/>
        </w:rPr>
        <w:t>733.41</w:t>
      </w:r>
      <w:r>
        <w:rPr>
          <w:rFonts w:hint="eastAsia" w:asciiTheme="minorEastAsia" w:hAnsiTheme="minorEastAsia" w:eastAsiaTheme="minorEastAsia"/>
          <w:color w:val="000000" w:themeColor="text1"/>
          <w:sz w:val="32"/>
          <w:szCs w:val="32"/>
        </w:rPr>
        <w:t>万元，支出决算为</w:t>
      </w:r>
      <w:r>
        <w:rPr>
          <w:rFonts w:hint="eastAsia" w:ascii="仿宋_GB2312" w:eastAsia="仿宋_GB2312"/>
          <w:sz w:val="32"/>
          <w:szCs w:val="32"/>
        </w:rPr>
        <w:t>803.18</w:t>
      </w:r>
      <w:r>
        <w:rPr>
          <w:rFonts w:hint="eastAsia" w:asciiTheme="minorEastAsia" w:hAnsiTheme="minorEastAsia" w:eastAsiaTheme="minorEastAsia"/>
          <w:color w:val="000000" w:themeColor="text1"/>
          <w:sz w:val="32"/>
          <w:szCs w:val="32"/>
        </w:rPr>
        <w:t>万元，完成年初预算的109.5%，决算数大于预算数的主要原因是：教师人数增加，工资总额增加。学生人数增加，公用经费增加。</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2、普通教育：初中教育205（类）02（款）03（项）</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w:t>
      </w:r>
      <w:r>
        <w:rPr>
          <w:rFonts w:hint="eastAsia" w:ascii="仿宋_GB2312" w:eastAsia="仿宋_GB2312"/>
          <w:sz w:val="32"/>
          <w:szCs w:val="32"/>
        </w:rPr>
        <w:t>92.02</w:t>
      </w:r>
      <w:r>
        <w:rPr>
          <w:rFonts w:hint="eastAsia" w:asciiTheme="minorEastAsia" w:hAnsiTheme="minorEastAsia" w:eastAsiaTheme="minorEastAsia"/>
          <w:color w:val="000000" w:themeColor="text1"/>
          <w:sz w:val="32"/>
          <w:szCs w:val="32"/>
        </w:rPr>
        <w:t>万元，支出决算为</w:t>
      </w:r>
      <w:r>
        <w:rPr>
          <w:rFonts w:hint="eastAsia" w:ascii="仿宋_GB2312" w:eastAsia="仿宋_GB2312"/>
          <w:sz w:val="32"/>
          <w:szCs w:val="32"/>
        </w:rPr>
        <w:t>112.35</w:t>
      </w:r>
      <w:r>
        <w:rPr>
          <w:rFonts w:hint="eastAsia" w:asciiTheme="minorEastAsia" w:hAnsiTheme="minorEastAsia" w:eastAsiaTheme="minorEastAsia"/>
          <w:color w:val="000000" w:themeColor="text1"/>
          <w:sz w:val="32"/>
          <w:szCs w:val="32"/>
        </w:rPr>
        <w:t>万元，完成年初预算的122.1%，决算数大于预算数的主要原因是：教师人数增加，工资总额增加。学生人数增加，公用经费增加。</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3、普通教育：其他普通教育支出205（类）02（款）99（项）</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其他普通教育支出：年初预算为192.8万元，支出决算为213.76万元，完成年初预算的110.9%，决算数大于预算数的主要原因是2019年下半年增加象形学校综合楼教学楼工程。</w:t>
      </w:r>
    </w:p>
    <w:p>
      <w:pPr>
        <w:pStyle w:val="9"/>
        <w:rPr>
          <w:rFonts w:hAnsi="黑体"/>
          <w:b/>
          <w:sz w:val="32"/>
          <w:szCs w:val="32"/>
        </w:rPr>
      </w:pPr>
      <w:r>
        <w:rPr>
          <w:rFonts w:hint="eastAsia" w:hAnsi="黑体"/>
          <w:b/>
          <w:sz w:val="32"/>
          <w:szCs w:val="32"/>
        </w:rPr>
        <w:t xml:space="preserve">    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915.53万元，其中：人员经费844.94万元，占基本支出的92.3%,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70.59万元，占基本支出的7.7%，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 xml:space="preserve">    八、一般公共预算财政拨款三公经费支出决算情况说明</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（一）“三公”经费财政拨款支出决算总体情况说明</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（二）“三公”经费财政拨款支出决算具体情况说明</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w:t>
      </w:r>
      <w:bookmarkStart w:id="0" w:name="_GoBack"/>
      <w:bookmarkEnd w:id="0"/>
      <w:r>
        <w:rPr>
          <w:rFonts w:hint="eastAsia" w:asciiTheme="minorEastAsia" w:hAnsiTheme="minorEastAsia" w:eastAsiaTheme="minorEastAsia"/>
          <w:color w:val="000000" w:themeColor="text1"/>
          <w:sz w:val="32"/>
          <w:szCs w:val="32"/>
        </w:rPr>
        <w:t>出决算中，公务接待费支出决算0万元，占0%,因公出国（境）费支出决算0万元，占0%,公务用车购置费及运行维护费支出决算0万元，占0%。其中：</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 xml:space="preserve">    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 xml:space="preserve">   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 xml:space="preserve">    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办公费2.04万元；培训费0.18万元，用于外出教育教学专门培训，印刷费5.17万元；水费0.83万元；电费6.91万元；差旅费5.02万元；维修（护）费0.93万元；租赁费9.19万元；劳务费1.18万元；工会经费15万元，其他商品和服务支出19.9万元，办公设备购置1.83万元；专用设备购置0.95万元；信息网络及软件购置更新1.47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w:t>
      </w:r>
      <w:r>
        <w:rPr>
          <w:rFonts w:hint="eastAsia" w:cs="黑体" w:asciiTheme="minorEastAsia" w:hAnsiTheme="minorEastAsia"/>
          <w:color w:val="000000"/>
          <w:kern w:val="0"/>
          <w:sz w:val="32"/>
          <w:szCs w:val="32"/>
        </w:rPr>
        <w:t>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1、怀化市象形学校是全额拨款的事业单位。</w:t>
      </w:r>
      <w:r>
        <w:rPr>
          <w:rFonts w:hint="eastAsia" w:cs="Times New Roman" w:asciiTheme="minorEastAsia" w:hAnsiTheme="minorEastAsia"/>
          <w:sz w:val="32"/>
          <w:szCs w:val="32"/>
        </w:rPr>
        <w:t>内设</w:t>
      </w:r>
      <w:r>
        <w:rPr>
          <w:rFonts w:hint="eastAsia" w:ascii="Times New Roman" w:hAnsi="Times New Roman" w:eastAsia="仿宋_GB2312" w:cs="Times New Roman"/>
          <w:bCs/>
          <w:kern w:val="0"/>
          <w:sz w:val="32"/>
          <w:szCs w:val="32"/>
        </w:rPr>
        <w:t>10</w:t>
      </w:r>
      <w:r>
        <w:rPr>
          <w:rFonts w:hint="eastAsia" w:cs="仿宋" w:asciiTheme="minorEastAsia" w:hAnsiTheme="minorEastAsia"/>
          <w:sz w:val="32"/>
          <w:szCs w:val="32"/>
        </w:rPr>
        <w:t>个职能处室：学校办公室、校长室、工会、党支部、总务处、教务处、德育处、教研室、财务室、团队处。</w:t>
      </w:r>
    </w:p>
    <w:p>
      <w:pPr>
        <w:ind w:firstLine="640" w:firstLineChars="200"/>
        <w:rPr>
          <w:rFonts w:cs="宋体" w:asciiTheme="minorEastAsia" w:hAnsiTheme="minorEastAsia"/>
          <w:sz w:val="32"/>
          <w:szCs w:val="32"/>
        </w:rPr>
      </w:pP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3、编制人员情况:现实有在职人员58人（其中全额拨款58人，自收自支0人），离退休人员23人(其中财政拨款23人，自收自支0人），遗属人员1人。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1、收入说明：2019年总收入为1218.22万元，财政拨款收入1129.3万元，其他收入88.93万元。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2、支出说明：2019年总支出为1218.22万元，其中：人员经费支出844.94万元，日常公用经费70.59万元，项目支出为213.76万元，其他教育支出88.93万元。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3、“三公”经费说明：2019年度“三公”经费支出为0万元，根据各项规定，我单位按要求厉行节约，没有产生“三公”经费。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573B4"/>
    <w:rsid w:val="000658A3"/>
    <w:rsid w:val="00074155"/>
    <w:rsid w:val="0008681D"/>
    <w:rsid w:val="000A3F69"/>
    <w:rsid w:val="00145BF3"/>
    <w:rsid w:val="00152A06"/>
    <w:rsid w:val="00152C6D"/>
    <w:rsid w:val="00162D39"/>
    <w:rsid w:val="00164F31"/>
    <w:rsid w:val="001651B4"/>
    <w:rsid w:val="0019026A"/>
    <w:rsid w:val="00194895"/>
    <w:rsid w:val="001A5EFF"/>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213E6"/>
    <w:rsid w:val="003479BD"/>
    <w:rsid w:val="003604FD"/>
    <w:rsid w:val="00366957"/>
    <w:rsid w:val="00374827"/>
    <w:rsid w:val="003768D5"/>
    <w:rsid w:val="003B1003"/>
    <w:rsid w:val="003B2385"/>
    <w:rsid w:val="003B74C3"/>
    <w:rsid w:val="003E3167"/>
    <w:rsid w:val="00407F21"/>
    <w:rsid w:val="00410E2F"/>
    <w:rsid w:val="00437BE7"/>
    <w:rsid w:val="00440F65"/>
    <w:rsid w:val="004442D4"/>
    <w:rsid w:val="0044488C"/>
    <w:rsid w:val="004506F9"/>
    <w:rsid w:val="004717A2"/>
    <w:rsid w:val="00491741"/>
    <w:rsid w:val="00497D6D"/>
    <w:rsid w:val="004A25E3"/>
    <w:rsid w:val="004C300C"/>
    <w:rsid w:val="004E4B84"/>
    <w:rsid w:val="00500E5F"/>
    <w:rsid w:val="005122EF"/>
    <w:rsid w:val="00514C19"/>
    <w:rsid w:val="00517C33"/>
    <w:rsid w:val="00523644"/>
    <w:rsid w:val="005379B4"/>
    <w:rsid w:val="0054069E"/>
    <w:rsid w:val="005557DF"/>
    <w:rsid w:val="005767CC"/>
    <w:rsid w:val="00590D9F"/>
    <w:rsid w:val="00595D26"/>
    <w:rsid w:val="005A74E6"/>
    <w:rsid w:val="005D4D55"/>
    <w:rsid w:val="005D6CD7"/>
    <w:rsid w:val="005E2CFB"/>
    <w:rsid w:val="005E3C93"/>
    <w:rsid w:val="005F0402"/>
    <w:rsid w:val="00622AAF"/>
    <w:rsid w:val="0062378F"/>
    <w:rsid w:val="00645175"/>
    <w:rsid w:val="00651EEC"/>
    <w:rsid w:val="00652413"/>
    <w:rsid w:val="00662F03"/>
    <w:rsid w:val="006665DA"/>
    <w:rsid w:val="006701EC"/>
    <w:rsid w:val="0067578E"/>
    <w:rsid w:val="00687FC6"/>
    <w:rsid w:val="00694EC1"/>
    <w:rsid w:val="006A351B"/>
    <w:rsid w:val="006B0422"/>
    <w:rsid w:val="006C1B53"/>
    <w:rsid w:val="006D216E"/>
    <w:rsid w:val="006D7730"/>
    <w:rsid w:val="006E2E56"/>
    <w:rsid w:val="006E474B"/>
    <w:rsid w:val="006E5284"/>
    <w:rsid w:val="006F3EB5"/>
    <w:rsid w:val="00700BD2"/>
    <w:rsid w:val="00702E34"/>
    <w:rsid w:val="00704395"/>
    <w:rsid w:val="00712FD9"/>
    <w:rsid w:val="00720FF1"/>
    <w:rsid w:val="00723160"/>
    <w:rsid w:val="00725763"/>
    <w:rsid w:val="0074149D"/>
    <w:rsid w:val="007A266A"/>
    <w:rsid w:val="007B6332"/>
    <w:rsid w:val="007B63CA"/>
    <w:rsid w:val="007D02F0"/>
    <w:rsid w:val="007D2276"/>
    <w:rsid w:val="007D6820"/>
    <w:rsid w:val="007E6149"/>
    <w:rsid w:val="007F3D78"/>
    <w:rsid w:val="00800EFA"/>
    <w:rsid w:val="00812ED5"/>
    <w:rsid w:val="008277D9"/>
    <w:rsid w:val="008536C3"/>
    <w:rsid w:val="00860282"/>
    <w:rsid w:val="00865BC8"/>
    <w:rsid w:val="0088084E"/>
    <w:rsid w:val="008A38D3"/>
    <w:rsid w:val="008A3E8D"/>
    <w:rsid w:val="008B501F"/>
    <w:rsid w:val="00901FFA"/>
    <w:rsid w:val="009237C4"/>
    <w:rsid w:val="00936ED2"/>
    <w:rsid w:val="00946EEB"/>
    <w:rsid w:val="00950252"/>
    <w:rsid w:val="00954086"/>
    <w:rsid w:val="00956FEB"/>
    <w:rsid w:val="00967F5D"/>
    <w:rsid w:val="00991CDA"/>
    <w:rsid w:val="009A0F95"/>
    <w:rsid w:val="009B1F4B"/>
    <w:rsid w:val="009B2C99"/>
    <w:rsid w:val="009B3ADF"/>
    <w:rsid w:val="009C3B52"/>
    <w:rsid w:val="009C5BB9"/>
    <w:rsid w:val="009E512C"/>
    <w:rsid w:val="009F35C3"/>
    <w:rsid w:val="00A13692"/>
    <w:rsid w:val="00A15B90"/>
    <w:rsid w:val="00A15D4E"/>
    <w:rsid w:val="00A25CF1"/>
    <w:rsid w:val="00A32E0B"/>
    <w:rsid w:val="00A42218"/>
    <w:rsid w:val="00A66966"/>
    <w:rsid w:val="00A70249"/>
    <w:rsid w:val="00A849C8"/>
    <w:rsid w:val="00A909DF"/>
    <w:rsid w:val="00AA5623"/>
    <w:rsid w:val="00AB2877"/>
    <w:rsid w:val="00AC2813"/>
    <w:rsid w:val="00AF0E59"/>
    <w:rsid w:val="00B06C0A"/>
    <w:rsid w:val="00B1668C"/>
    <w:rsid w:val="00B33BEA"/>
    <w:rsid w:val="00B54592"/>
    <w:rsid w:val="00B566D0"/>
    <w:rsid w:val="00B57C9F"/>
    <w:rsid w:val="00B716B6"/>
    <w:rsid w:val="00B75477"/>
    <w:rsid w:val="00B845B3"/>
    <w:rsid w:val="00B85D8B"/>
    <w:rsid w:val="00B86EC5"/>
    <w:rsid w:val="00B913DB"/>
    <w:rsid w:val="00BA497A"/>
    <w:rsid w:val="00BC7861"/>
    <w:rsid w:val="00BE3674"/>
    <w:rsid w:val="00BE6414"/>
    <w:rsid w:val="00C2181B"/>
    <w:rsid w:val="00C3049A"/>
    <w:rsid w:val="00C31B1E"/>
    <w:rsid w:val="00C33A43"/>
    <w:rsid w:val="00C54F98"/>
    <w:rsid w:val="00C77645"/>
    <w:rsid w:val="00C95533"/>
    <w:rsid w:val="00CB4301"/>
    <w:rsid w:val="00CE04C3"/>
    <w:rsid w:val="00CE5BB2"/>
    <w:rsid w:val="00CE76A0"/>
    <w:rsid w:val="00D01A21"/>
    <w:rsid w:val="00D041A1"/>
    <w:rsid w:val="00D148C6"/>
    <w:rsid w:val="00D14BE2"/>
    <w:rsid w:val="00D22D2F"/>
    <w:rsid w:val="00D27691"/>
    <w:rsid w:val="00D30EF3"/>
    <w:rsid w:val="00D54005"/>
    <w:rsid w:val="00D558E4"/>
    <w:rsid w:val="00D602DE"/>
    <w:rsid w:val="00D639CF"/>
    <w:rsid w:val="00D6741D"/>
    <w:rsid w:val="00D744FC"/>
    <w:rsid w:val="00D968A2"/>
    <w:rsid w:val="00DA70BE"/>
    <w:rsid w:val="00DC250F"/>
    <w:rsid w:val="00DD06FF"/>
    <w:rsid w:val="00DD5FE9"/>
    <w:rsid w:val="00E00C7A"/>
    <w:rsid w:val="00E25A02"/>
    <w:rsid w:val="00E25D58"/>
    <w:rsid w:val="00E55B68"/>
    <w:rsid w:val="00E738F0"/>
    <w:rsid w:val="00E94ECA"/>
    <w:rsid w:val="00E9708F"/>
    <w:rsid w:val="00EA3B87"/>
    <w:rsid w:val="00EA3D13"/>
    <w:rsid w:val="00EC05F0"/>
    <w:rsid w:val="00EC1A3B"/>
    <w:rsid w:val="00EC513F"/>
    <w:rsid w:val="00EE405B"/>
    <w:rsid w:val="00EF6BDC"/>
    <w:rsid w:val="00F01955"/>
    <w:rsid w:val="00F03697"/>
    <w:rsid w:val="00F123D5"/>
    <w:rsid w:val="00F129AB"/>
    <w:rsid w:val="00F158F4"/>
    <w:rsid w:val="00F3635D"/>
    <w:rsid w:val="00F74360"/>
    <w:rsid w:val="00F80316"/>
    <w:rsid w:val="00F919D9"/>
    <w:rsid w:val="00FA5C78"/>
    <w:rsid w:val="00FB462F"/>
    <w:rsid w:val="00FD5395"/>
    <w:rsid w:val="00FD5D30"/>
    <w:rsid w:val="00FD60B2"/>
    <w:rsid w:val="00FD6188"/>
    <w:rsid w:val="00FE16FA"/>
    <w:rsid w:val="00FE328A"/>
    <w:rsid w:val="00FF5A10"/>
    <w:rsid w:val="02D25E29"/>
    <w:rsid w:val="088F71B4"/>
    <w:rsid w:val="7B8262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661</Words>
  <Characters>3771</Characters>
  <Lines>31</Lines>
  <Paragraphs>8</Paragraphs>
  <TotalTime>200</TotalTime>
  <ScaleCrop>false</ScaleCrop>
  <LinksUpToDate>false</LinksUpToDate>
  <CharactersWithSpaces>4424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2020-09-03T07:04:00Z</cp:lastPrinted>
  <dcterms:modified xsi:type="dcterms:W3CDTF">2021-06-06T08:30:35Z</dcterms:modified>
  <cp:revision>258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ABB85E75D2D245A0BCF59833A45F319D</vt:lpwstr>
  </property>
</Properties>
</file>