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D56" w:rsidRDefault="00BA7D56">
      <w:pPr>
        <w:pStyle w:val="Default"/>
        <w:jc w:val="center"/>
        <w:rPr>
          <w:sz w:val="56"/>
          <w:szCs w:val="56"/>
        </w:rPr>
      </w:pPr>
    </w:p>
    <w:p w:rsidR="00BA7D56" w:rsidRDefault="00BA7D56">
      <w:pPr>
        <w:pStyle w:val="Default"/>
        <w:jc w:val="center"/>
        <w:rPr>
          <w:sz w:val="56"/>
          <w:szCs w:val="56"/>
        </w:rPr>
      </w:pPr>
    </w:p>
    <w:p w:rsidR="00BA7D56" w:rsidRDefault="00BA7D56">
      <w:pPr>
        <w:pStyle w:val="Default"/>
        <w:jc w:val="center"/>
        <w:rPr>
          <w:sz w:val="84"/>
          <w:szCs w:val="84"/>
        </w:rPr>
      </w:pPr>
    </w:p>
    <w:p w:rsidR="00BA7D56" w:rsidRDefault="00BA7D56">
      <w:pPr>
        <w:pStyle w:val="Default"/>
        <w:jc w:val="center"/>
        <w:rPr>
          <w:sz w:val="84"/>
          <w:szCs w:val="84"/>
        </w:rPr>
      </w:pPr>
    </w:p>
    <w:p w:rsidR="00BA7D56" w:rsidRDefault="0080757D">
      <w:pPr>
        <w:pStyle w:val="Default"/>
        <w:jc w:val="center"/>
        <w:rPr>
          <w:sz w:val="84"/>
          <w:szCs w:val="84"/>
        </w:rPr>
      </w:pPr>
      <w:r>
        <w:rPr>
          <w:rFonts w:hint="eastAsia"/>
          <w:sz w:val="84"/>
          <w:szCs w:val="84"/>
        </w:rPr>
        <w:t>2019年度</w:t>
      </w:r>
    </w:p>
    <w:p w:rsidR="00BA7D56" w:rsidRDefault="0080757D">
      <w:pPr>
        <w:pStyle w:val="Default"/>
        <w:jc w:val="center"/>
        <w:rPr>
          <w:sz w:val="84"/>
          <w:szCs w:val="84"/>
        </w:rPr>
      </w:pPr>
      <w:r>
        <w:rPr>
          <w:rFonts w:hint="eastAsia"/>
          <w:sz w:val="84"/>
          <w:szCs w:val="84"/>
        </w:rPr>
        <w:t>鹤城区农村经营服务站部门决算</w:t>
      </w:r>
    </w:p>
    <w:p w:rsidR="00BA7D56" w:rsidRDefault="00BA7D56">
      <w:pPr>
        <w:pStyle w:val="Default"/>
        <w:jc w:val="center"/>
        <w:rPr>
          <w:sz w:val="56"/>
          <w:szCs w:val="56"/>
        </w:rPr>
      </w:pPr>
    </w:p>
    <w:p w:rsidR="00BA7D56" w:rsidRDefault="00BA7D56">
      <w:pPr>
        <w:pStyle w:val="Default"/>
        <w:jc w:val="center"/>
        <w:rPr>
          <w:sz w:val="56"/>
          <w:szCs w:val="56"/>
        </w:rPr>
      </w:pPr>
    </w:p>
    <w:p w:rsidR="00BA7D56" w:rsidRDefault="00BA7D56">
      <w:pPr>
        <w:pStyle w:val="Default"/>
        <w:jc w:val="center"/>
        <w:rPr>
          <w:sz w:val="56"/>
          <w:szCs w:val="56"/>
        </w:rPr>
      </w:pPr>
    </w:p>
    <w:p w:rsidR="00BA7D56" w:rsidRDefault="00BA7D56">
      <w:pPr>
        <w:pStyle w:val="Default"/>
        <w:jc w:val="center"/>
        <w:rPr>
          <w:sz w:val="56"/>
          <w:szCs w:val="56"/>
        </w:rPr>
      </w:pPr>
    </w:p>
    <w:p w:rsidR="00BA7D56" w:rsidRDefault="00BA7D56">
      <w:pPr>
        <w:pStyle w:val="Default"/>
        <w:jc w:val="center"/>
        <w:rPr>
          <w:sz w:val="56"/>
          <w:szCs w:val="56"/>
        </w:rPr>
      </w:pPr>
    </w:p>
    <w:p w:rsidR="00BA7D56" w:rsidRDefault="00BA7D56">
      <w:pPr>
        <w:pStyle w:val="Default"/>
        <w:jc w:val="center"/>
        <w:rPr>
          <w:sz w:val="56"/>
          <w:szCs w:val="56"/>
        </w:rPr>
      </w:pPr>
    </w:p>
    <w:p w:rsidR="00BA7D56" w:rsidRDefault="00BA7D56">
      <w:pPr>
        <w:pStyle w:val="Default"/>
        <w:jc w:val="center"/>
        <w:rPr>
          <w:sz w:val="56"/>
          <w:szCs w:val="56"/>
        </w:rPr>
      </w:pPr>
    </w:p>
    <w:p w:rsidR="00BA7D56" w:rsidRDefault="00BA7D56">
      <w:pPr>
        <w:pStyle w:val="Default"/>
        <w:spacing w:line="540" w:lineRule="exact"/>
        <w:jc w:val="center"/>
        <w:rPr>
          <w:sz w:val="56"/>
          <w:szCs w:val="56"/>
        </w:rPr>
      </w:pPr>
    </w:p>
    <w:p w:rsidR="00BA7D56" w:rsidRDefault="0080757D">
      <w:pPr>
        <w:pStyle w:val="Default"/>
        <w:spacing w:line="520" w:lineRule="exact"/>
        <w:jc w:val="center"/>
        <w:rPr>
          <w:sz w:val="56"/>
          <w:szCs w:val="56"/>
        </w:rPr>
      </w:pPr>
      <w:r>
        <w:rPr>
          <w:rFonts w:hint="eastAsia"/>
          <w:sz w:val="56"/>
          <w:szCs w:val="56"/>
        </w:rPr>
        <w:t>目录</w:t>
      </w:r>
    </w:p>
    <w:p w:rsidR="00BA7D56" w:rsidRDefault="0080757D">
      <w:pPr>
        <w:pStyle w:val="Default"/>
        <w:spacing w:line="520" w:lineRule="exact"/>
        <w:rPr>
          <w:rFonts w:ascii="仿宋_GB2312" w:hAnsi="仿宋_GB2312" w:cs="仿宋_GB2312"/>
          <w:b/>
          <w:sz w:val="28"/>
          <w:szCs w:val="28"/>
        </w:rPr>
      </w:pPr>
      <w:r>
        <w:rPr>
          <w:rFonts w:hint="eastAsia"/>
          <w:b/>
          <w:sz w:val="28"/>
          <w:szCs w:val="28"/>
        </w:rPr>
        <w:t>第一部分单位概况</w:t>
      </w:r>
    </w:p>
    <w:p w:rsidR="00BA7D56" w:rsidRDefault="0080757D">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BA7D56" w:rsidRDefault="0080757D">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BA7D56" w:rsidRDefault="0080757D">
      <w:pPr>
        <w:pStyle w:val="Default"/>
        <w:spacing w:line="52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2019</w:t>
      </w:r>
      <w:r>
        <w:rPr>
          <w:rFonts w:hAnsi="仿宋_GB2312" w:hint="eastAsia"/>
          <w:b/>
          <w:sz w:val="28"/>
          <w:szCs w:val="28"/>
        </w:rPr>
        <w:t>年度部门决算表</w:t>
      </w:r>
    </w:p>
    <w:p w:rsidR="00BA7D56" w:rsidRDefault="0080757D">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BA7D56" w:rsidRDefault="0080757D">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BA7D56" w:rsidRDefault="0080757D">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BA7D56" w:rsidRDefault="0080757D">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BA7D56" w:rsidRDefault="0080757D">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BA7D56" w:rsidRDefault="0080757D">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BA7D56" w:rsidRDefault="0080757D">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lastRenderedPageBreak/>
        <w:t>七、一般公共预算财政拨款“三公”经费支出决算表</w:t>
      </w:r>
    </w:p>
    <w:p w:rsidR="00BA7D56" w:rsidRDefault="0080757D">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BA7D56" w:rsidRDefault="0080757D">
      <w:pPr>
        <w:pStyle w:val="Default"/>
        <w:spacing w:line="52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2019</w:t>
      </w:r>
      <w:r>
        <w:rPr>
          <w:rFonts w:hAnsi="仿宋_GB2312" w:hint="eastAsia"/>
          <w:b/>
          <w:sz w:val="28"/>
          <w:szCs w:val="28"/>
        </w:rPr>
        <w:t>年度部门决算情况说明</w:t>
      </w:r>
    </w:p>
    <w:p w:rsidR="00BA7D56" w:rsidRDefault="0080757D">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BA7D56" w:rsidRDefault="0080757D">
      <w:pPr>
        <w:spacing w:line="52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BA7D56" w:rsidRDefault="0080757D">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BA7D56" w:rsidRDefault="0080757D">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BA7D56" w:rsidRDefault="0080757D">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BA7D56" w:rsidRDefault="0080757D">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BA7D56" w:rsidRDefault="0080757D">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w:t>
      </w:r>
      <w:proofErr w:type="gramStart"/>
      <w:r>
        <w:rPr>
          <w:rFonts w:ascii="仿宋_GB2312" w:hAnsi="仿宋_GB2312" w:cs="仿宋_GB2312"/>
          <w:color w:val="000000"/>
          <w:kern w:val="0"/>
          <w:sz w:val="28"/>
          <w:szCs w:val="28"/>
        </w:rPr>
        <w:t>公经费</w:t>
      </w:r>
      <w:proofErr w:type="gramEnd"/>
      <w:r>
        <w:rPr>
          <w:rFonts w:ascii="仿宋_GB2312" w:hAnsi="仿宋_GB2312" w:cs="仿宋_GB2312"/>
          <w:color w:val="000000"/>
          <w:kern w:val="0"/>
          <w:sz w:val="28"/>
          <w:szCs w:val="28"/>
        </w:rPr>
        <w:t>支出决算情况说明</w:t>
      </w:r>
    </w:p>
    <w:p w:rsidR="00BA7D56" w:rsidRDefault="0080757D">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BA7D56" w:rsidRDefault="0080757D">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、预算绩效情况说明</w:t>
      </w:r>
    </w:p>
    <w:p w:rsidR="00BA7D56" w:rsidRDefault="0080757D">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w:t>
      </w:r>
      <w:r>
        <w:rPr>
          <w:rFonts w:ascii="仿宋_GB2312" w:hAnsi="仿宋_GB2312" w:cs="仿宋_GB2312"/>
          <w:color w:val="000000"/>
          <w:kern w:val="0"/>
          <w:sz w:val="28"/>
          <w:szCs w:val="28"/>
        </w:rPr>
        <w:t>、其他重要事项情况说明</w:t>
      </w:r>
    </w:p>
    <w:p w:rsidR="00BA7D56" w:rsidRDefault="0080757D">
      <w:pPr>
        <w:autoSpaceDE w:val="0"/>
        <w:autoSpaceDN w:val="0"/>
        <w:adjustRightInd w:val="0"/>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第四部分名词解释</w:t>
      </w:r>
    </w:p>
    <w:p w:rsidR="00BA7D56" w:rsidRDefault="0080757D">
      <w:pPr>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第五部分附件</w:t>
      </w:r>
    </w:p>
    <w:p w:rsidR="00BA7D56" w:rsidRDefault="00BA7D56">
      <w:pPr>
        <w:jc w:val="center"/>
        <w:rPr>
          <w:sz w:val="72"/>
          <w:szCs w:val="72"/>
        </w:rPr>
      </w:pPr>
    </w:p>
    <w:p w:rsidR="00BA7D56" w:rsidRDefault="00BA7D56">
      <w:pPr>
        <w:jc w:val="center"/>
        <w:rPr>
          <w:sz w:val="72"/>
          <w:szCs w:val="72"/>
        </w:rPr>
      </w:pPr>
    </w:p>
    <w:p w:rsidR="00BA7D56" w:rsidRDefault="00BA7D56">
      <w:pPr>
        <w:jc w:val="center"/>
        <w:rPr>
          <w:sz w:val="72"/>
          <w:szCs w:val="72"/>
        </w:rPr>
      </w:pPr>
    </w:p>
    <w:p w:rsidR="00BA7D56" w:rsidRDefault="00BA7D56">
      <w:pPr>
        <w:jc w:val="center"/>
        <w:rPr>
          <w:sz w:val="72"/>
          <w:szCs w:val="72"/>
        </w:rPr>
      </w:pPr>
    </w:p>
    <w:p w:rsidR="00BA7D56" w:rsidRDefault="00BA7D56">
      <w:pPr>
        <w:rPr>
          <w:sz w:val="72"/>
          <w:szCs w:val="72"/>
        </w:rPr>
      </w:pPr>
    </w:p>
    <w:p w:rsidR="00BA7D56" w:rsidRDefault="0080757D">
      <w:pPr>
        <w:pStyle w:val="Default"/>
        <w:jc w:val="center"/>
        <w:rPr>
          <w:sz w:val="84"/>
          <w:szCs w:val="84"/>
        </w:rPr>
      </w:pPr>
      <w:r>
        <w:rPr>
          <w:rFonts w:hint="eastAsia"/>
          <w:sz w:val="84"/>
          <w:szCs w:val="84"/>
        </w:rPr>
        <w:t>第一部分</w:t>
      </w:r>
    </w:p>
    <w:p w:rsidR="00BA7D56" w:rsidRDefault="00BA7D56">
      <w:pPr>
        <w:pStyle w:val="Default"/>
        <w:jc w:val="center"/>
        <w:rPr>
          <w:sz w:val="84"/>
          <w:szCs w:val="84"/>
        </w:rPr>
      </w:pPr>
    </w:p>
    <w:p w:rsidR="00BA7D56" w:rsidRDefault="0080757D">
      <w:pPr>
        <w:pStyle w:val="Default"/>
        <w:jc w:val="center"/>
        <w:rPr>
          <w:sz w:val="84"/>
          <w:szCs w:val="84"/>
        </w:rPr>
      </w:pPr>
      <w:r>
        <w:rPr>
          <w:rFonts w:hint="eastAsia"/>
          <w:sz w:val="84"/>
          <w:szCs w:val="84"/>
        </w:rPr>
        <w:t>鹤城区农村经营服务站概况</w:t>
      </w:r>
    </w:p>
    <w:p w:rsidR="00BA7D56" w:rsidRDefault="00BA7D56">
      <w:pPr>
        <w:jc w:val="center"/>
        <w:rPr>
          <w:sz w:val="72"/>
          <w:szCs w:val="72"/>
        </w:rPr>
      </w:pPr>
    </w:p>
    <w:p w:rsidR="00BA7D56" w:rsidRDefault="00BA7D56">
      <w:pPr>
        <w:jc w:val="center"/>
        <w:rPr>
          <w:sz w:val="72"/>
          <w:szCs w:val="72"/>
        </w:rPr>
      </w:pPr>
    </w:p>
    <w:p w:rsidR="00BA7D56" w:rsidRDefault="00BA7D56">
      <w:pPr>
        <w:jc w:val="center"/>
        <w:rPr>
          <w:sz w:val="72"/>
          <w:szCs w:val="72"/>
        </w:rPr>
      </w:pPr>
    </w:p>
    <w:p w:rsidR="00BA7D56" w:rsidRDefault="00BA7D56">
      <w:pPr>
        <w:jc w:val="center"/>
        <w:rPr>
          <w:sz w:val="72"/>
          <w:szCs w:val="72"/>
        </w:rPr>
      </w:pPr>
    </w:p>
    <w:p w:rsidR="00BA7D56" w:rsidRDefault="00BA7D56">
      <w:pPr>
        <w:jc w:val="center"/>
        <w:rPr>
          <w:sz w:val="72"/>
          <w:szCs w:val="72"/>
        </w:rPr>
      </w:pPr>
    </w:p>
    <w:p w:rsidR="00BA7D56" w:rsidRDefault="00BA7D56">
      <w:pPr>
        <w:pStyle w:val="a6"/>
        <w:ind w:left="720" w:firstLineChars="0" w:firstLine="0"/>
        <w:jc w:val="left"/>
        <w:rPr>
          <w:rFonts w:ascii="黑体" w:eastAsia="黑体" w:hAnsi="黑体"/>
          <w:sz w:val="32"/>
          <w:szCs w:val="32"/>
        </w:rPr>
      </w:pPr>
    </w:p>
    <w:p w:rsidR="00BA7D56" w:rsidRDefault="0080757D">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BA7D56" w:rsidRDefault="0080757D">
      <w:pPr>
        <w:pStyle w:val="a6"/>
        <w:ind w:left="720" w:firstLineChars="0" w:firstLine="0"/>
        <w:rPr>
          <w:rFonts w:asciiTheme="minorEastAsia" w:hAnsiTheme="minorEastAsia" w:cs="仿宋_GB2312"/>
          <w:sz w:val="32"/>
          <w:szCs w:val="32"/>
        </w:rPr>
      </w:pPr>
      <w:r>
        <w:rPr>
          <w:rFonts w:asciiTheme="minorEastAsia" w:hAnsiTheme="minorEastAsia" w:cs="仿宋_GB2312" w:hint="eastAsia"/>
          <w:sz w:val="32"/>
          <w:szCs w:val="32"/>
        </w:rPr>
        <w:t>（1）研究提出稳定和完善家庭联产承包为主的双层经营体制的稳定与发展。</w:t>
      </w:r>
    </w:p>
    <w:p w:rsidR="00BA7D56" w:rsidRDefault="0080757D">
      <w:pPr>
        <w:pStyle w:val="a6"/>
        <w:ind w:left="720" w:firstLineChars="0" w:firstLine="0"/>
        <w:rPr>
          <w:rFonts w:asciiTheme="minorEastAsia" w:hAnsiTheme="minorEastAsia" w:cs="仿宋_GB2312"/>
          <w:sz w:val="32"/>
          <w:szCs w:val="32"/>
        </w:rPr>
      </w:pPr>
      <w:r>
        <w:rPr>
          <w:rFonts w:asciiTheme="minorEastAsia" w:hAnsiTheme="minorEastAsia" w:cs="仿宋_GB2312" w:hint="eastAsia"/>
          <w:sz w:val="32"/>
          <w:szCs w:val="32"/>
        </w:rPr>
        <w:t>（2）指导全区农村土地承包、耕地使用权流转和承包合同管理等工作。</w:t>
      </w:r>
    </w:p>
    <w:p w:rsidR="00BA7D56" w:rsidRDefault="0080757D">
      <w:pPr>
        <w:pStyle w:val="a6"/>
        <w:ind w:left="720" w:firstLineChars="0" w:firstLine="0"/>
        <w:rPr>
          <w:rFonts w:asciiTheme="minorEastAsia" w:hAnsiTheme="minorEastAsia" w:cs="仿宋_GB2312"/>
          <w:sz w:val="32"/>
          <w:szCs w:val="32"/>
        </w:rPr>
      </w:pPr>
      <w:r>
        <w:rPr>
          <w:rFonts w:asciiTheme="minorEastAsia" w:hAnsiTheme="minorEastAsia" w:cs="仿宋_GB2312" w:hint="eastAsia"/>
          <w:sz w:val="32"/>
          <w:szCs w:val="32"/>
        </w:rPr>
        <w:t>（3）指导全区乡村集体经济组织的建设、财务、会计、资产管理和审计工作。</w:t>
      </w:r>
    </w:p>
    <w:p w:rsidR="00BA7D56" w:rsidRDefault="0080757D">
      <w:pPr>
        <w:pStyle w:val="a6"/>
        <w:ind w:left="720" w:firstLineChars="0" w:firstLine="0"/>
        <w:rPr>
          <w:rFonts w:asciiTheme="minorEastAsia" w:hAnsiTheme="minorEastAsia" w:cs="仿宋_GB2312"/>
          <w:sz w:val="32"/>
          <w:szCs w:val="32"/>
        </w:rPr>
      </w:pPr>
      <w:r>
        <w:rPr>
          <w:rFonts w:asciiTheme="minorEastAsia" w:hAnsiTheme="minorEastAsia" w:cs="仿宋_GB2312" w:hint="eastAsia"/>
          <w:sz w:val="32"/>
          <w:szCs w:val="32"/>
        </w:rPr>
        <w:t>（4）对农民负担费用提取、使用及农村“一事一议”情况进行监督管理，参与审核涉及农民负担的项目政策文件，查处涉及农民负担的重大事件。</w:t>
      </w:r>
    </w:p>
    <w:p w:rsidR="00BA7D56" w:rsidRDefault="0080757D">
      <w:pPr>
        <w:pStyle w:val="a6"/>
        <w:ind w:left="720" w:firstLineChars="0" w:firstLine="0"/>
        <w:rPr>
          <w:rFonts w:asciiTheme="minorEastAsia" w:hAnsiTheme="minorEastAsia" w:cs="仿宋_GB2312"/>
          <w:sz w:val="32"/>
          <w:szCs w:val="32"/>
        </w:rPr>
      </w:pPr>
      <w:r>
        <w:rPr>
          <w:rFonts w:asciiTheme="minorEastAsia" w:hAnsiTheme="minorEastAsia" w:cs="仿宋_GB2312" w:hint="eastAsia"/>
          <w:sz w:val="32"/>
          <w:szCs w:val="32"/>
        </w:rPr>
        <w:t>（5）指导农村各类合作经济组织的建设和发展。</w:t>
      </w:r>
    </w:p>
    <w:p w:rsidR="00BA7D56" w:rsidRDefault="0080757D">
      <w:pPr>
        <w:pStyle w:val="a6"/>
        <w:ind w:left="720" w:firstLineChars="0" w:firstLine="0"/>
        <w:rPr>
          <w:rFonts w:asciiTheme="minorEastAsia" w:hAnsiTheme="minorEastAsia" w:cs="仿宋_GB2312"/>
          <w:sz w:val="32"/>
          <w:szCs w:val="32"/>
        </w:rPr>
      </w:pPr>
      <w:r>
        <w:rPr>
          <w:rFonts w:asciiTheme="minorEastAsia" w:hAnsiTheme="minorEastAsia" w:cs="仿宋_GB2312" w:hint="eastAsia"/>
          <w:sz w:val="32"/>
          <w:szCs w:val="32"/>
        </w:rPr>
        <w:t>（6）负责农村有关经济和社会发展的指导体系的统计工作，组织对农村经济收支、农民收入情况的监测。（7）承办区委、区政府交办的其他事项。</w:t>
      </w:r>
    </w:p>
    <w:p w:rsidR="00BA7D56" w:rsidRDefault="0080757D">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BA7D56" w:rsidRDefault="0080757D">
      <w:pPr>
        <w:ind w:firstLineChars="200" w:firstLine="640"/>
        <w:rPr>
          <w:rFonts w:asciiTheme="minorEastAsia" w:hAnsiTheme="minorEastAsia" w:cs="仿宋_GB2312"/>
          <w:sz w:val="32"/>
          <w:szCs w:val="32"/>
        </w:rPr>
      </w:pPr>
      <w:r>
        <w:rPr>
          <w:rFonts w:asciiTheme="minorEastAsia" w:hAnsiTheme="minorEastAsia" w:hint="eastAsia"/>
          <w:bCs/>
          <w:kern w:val="0"/>
          <w:sz w:val="32"/>
          <w:szCs w:val="32"/>
        </w:rPr>
        <w:t>（一）内设机构设置。</w:t>
      </w:r>
      <w:r>
        <w:rPr>
          <w:rFonts w:asciiTheme="minorEastAsia" w:hAnsiTheme="minorEastAsia" w:cs="仿宋_GB2312" w:hint="eastAsia"/>
          <w:bCs/>
          <w:kern w:val="0"/>
          <w:sz w:val="32"/>
          <w:szCs w:val="32"/>
        </w:rPr>
        <w:t>鹤城区农村经营服务站内设机构包括：本站</w:t>
      </w:r>
      <w:r>
        <w:rPr>
          <w:rFonts w:asciiTheme="minorEastAsia" w:hAnsiTheme="minorEastAsia" w:cs="仿宋_GB2312" w:hint="eastAsia"/>
          <w:sz w:val="32"/>
          <w:szCs w:val="32"/>
        </w:rPr>
        <w:t>是全额拨款的事业单位，内设有4个职能股室：办公室、农村经营体制管理股、农村资产财务管理股、农民负担监督管理股。</w:t>
      </w:r>
    </w:p>
    <w:p w:rsidR="00BA7D56" w:rsidRDefault="0080757D">
      <w:pPr>
        <w:widowControl/>
        <w:spacing w:line="600" w:lineRule="exact"/>
        <w:ind w:firstLineChars="200" w:firstLine="640"/>
        <w:rPr>
          <w:rFonts w:ascii="仿宋_GB2312" w:eastAsia="仿宋_GB2312" w:hAnsi="仿宋_GB2312" w:cs="仿宋_GB2312"/>
          <w:bCs/>
          <w:kern w:val="0"/>
          <w:sz w:val="32"/>
          <w:szCs w:val="32"/>
        </w:rPr>
      </w:pPr>
      <w:r>
        <w:rPr>
          <w:rFonts w:asciiTheme="minorEastAsia" w:hAnsiTheme="minorEastAsia" w:hint="eastAsia"/>
          <w:bCs/>
          <w:kern w:val="0"/>
          <w:sz w:val="32"/>
          <w:szCs w:val="32"/>
        </w:rPr>
        <w:t>（二）决算单位构成。</w:t>
      </w:r>
      <w:r>
        <w:rPr>
          <w:rFonts w:asciiTheme="minorEastAsia" w:hAnsiTheme="minorEastAsia" w:cs="仿宋_GB2312" w:hint="eastAsia"/>
          <w:bCs/>
          <w:kern w:val="0"/>
          <w:sz w:val="32"/>
          <w:szCs w:val="32"/>
        </w:rPr>
        <w:t>鹤城区农村经营服务站</w:t>
      </w:r>
      <w:r>
        <w:rPr>
          <w:rFonts w:asciiTheme="minorEastAsia" w:hAnsiTheme="minorEastAsia"/>
          <w:bCs/>
          <w:kern w:val="0"/>
          <w:sz w:val="32"/>
          <w:szCs w:val="32"/>
        </w:rPr>
        <w:t>2019</w:t>
      </w:r>
      <w:r>
        <w:rPr>
          <w:rFonts w:asciiTheme="minorEastAsia" w:hAnsiTheme="minorEastAsia" w:hint="eastAsia"/>
          <w:bCs/>
          <w:kern w:val="0"/>
          <w:sz w:val="32"/>
          <w:szCs w:val="32"/>
        </w:rPr>
        <w:t>年部门决算汇总公开单位构成包括：</w:t>
      </w:r>
      <w:r>
        <w:rPr>
          <w:rFonts w:asciiTheme="minorEastAsia" w:hAnsiTheme="minorEastAsia" w:cs="仿宋_GB2312" w:hint="eastAsia"/>
          <w:bCs/>
          <w:kern w:val="0"/>
          <w:sz w:val="32"/>
          <w:szCs w:val="32"/>
        </w:rPr>
        <w:t>鹤城区农村经营服务站</w:t>
      </w:r>
      <w:r>
        <w:rPr>
          <w:rFonts w:asciiTheme="minorEastAsia" w:hAnsiTheme="minorEastAsia" w:hint="eastAsia"/>
          <w:bCs/>
          <w:kern w:val="0"/>
          <w:sz w:val="32"/>
          <w:szCs w:val="32"/>
        </w:rPr>
        <w:t>本级。</w:t>
      </w:r>
    </w:p>
    <w:p w:rsidR="00BA7D56" w:rsidRDefault="00BA7D56">
      <w:pPr>
        <w:widowControl/>
        <w:spacing w:line="600" w:lineRule="exact"/>
        <w:rPr>
          <w:rFonts w:asciiTheme="minorEastAsia" w:hAnsiTheme="minorEastAsia"/>
          <w:bCs/>
          <w:kern w:val="0"/>
          <w:sz w:val="32"/>
          <w:szCs w:val="32"/>
        </w:rPr>
      </w:pPr>
    </w:p>
    <w:p w:rsidR="00BA7D56" w:rsidRDefault="00BA7D56">
      <w:pPr>
        <w:jc w:val="left"/>
        <w:rPr>
          <w:rFonts w:ascii="仿宋_GB2312" w:eastAsia="仿宋_GB2312" w:hAnsiTheme="minorEastAsia"/>
          <w:sz w:val="28"/>
          <w:szCs w:val="32"/>
        </w:rPr>
      </w:pPr>
    </w:p>
    <w:p w:rsidR="00BA7D56" w:rsidRDefault="00BA7D56">
      <w:pPr>
        <w:jc w:val="center"/>
        <w:rPr>
          <w:rFonts w:ascii="黑体" w:eastAsia="黑体" w:hAnsi="黑体"/>
          <w:sz w:val="28"/>
          <w:szCs w:val="28"/>
        </w:rPr>
      </w:pPr>
    </w:p>
    <w:p w:rsidR="00BA7D56" w:rsidRDefault="00BA7D56">
      <w:pPr>
        <w:jc w:val="center"/>
        <w:rPr>
          <w:rFonts w:ascii="黑体" w:eastAsia="黑体" w:hAnsi="黑体"/>
          <w:sz w:val="28"/>
          <w:szCs w:val="28"/>
        </w:rPr>
      </w:pPr>
    </w:p>
    <w:p w:rsidR="00BA7D56" w:rsidRDefault="00BA7D56">
      <w:pPr>
        <w:jc w:val="center"/>
        <w:rPr>
          <w:rFonts w:ascii="黑体" w:eastAsia="黑体" w:hAnsi="黑体"/>
          <w:sz w:val="28"/>
          <w:szCs w:val="28"/>
        </w:rPr>
      </w:pPr>
    </w:p>
    <w:p w:rsidR="00BA7D56" w:rsidRDefault="00BA7D56">
      <w:pPr>
        <w:jc w:val="center"/>
        <w:rPr>
          <w:rFonts w:ascii="黑体" w:eastAsia="黑体" w:hAnsi="黑体"/>
          <w:sz w:val="28"/>
          <w:szCs w:val="28"/>
        </w:rPr>
      </w:pPr>
    </w:p>
    <w:p w:rsidR="00BA7D56" w:rsidRDefault="00BA7D56">
      <w:pPr>
        <w:jc w:val="center"/>
        <w:rPr>
          <w:rFonts w:ascii="黑体" w:eastAsia="黑体" w:hAnsi="黑体"/>
          <w:sz w:val="28"/>
          <w:szCs w:val="28"/>
        </w:rPr>
      </w:pPr>
    </w:p>
    <w:p w:rsidR="00BA7D56" w:rsidRDefault="00BA7D56">
      <w:pPr>
        <w:jc w:val="center"/>
        <w:rPr>
          <w:rFonts w:ascii="黑体" w:eastAsia="黑体" w:hAnsi="黑体"/>
          <w:sz w:val="28"/>
          <w:szCs w:val="28"/>
        </w:rPr>
      </w:pPr>
    </w:p>
    <w:p w:rsidR="00BA7D56" w:rsidRDefault="00BA7D56">
      <w:pPr>
        <w:jc w:val="center"/>
        <w:rPr>
          <w:rFonts w:ascii="黑体" w:eastAsia="黑体" w:hAnsi="黑体"/>
          <w:sz w:val="28"/>
          <w:szCs w:val="28"/>
        </w:rPr>
      </w:pPr>
    </w:p>
    <w:p w:rsidR="00BA7D56" w:rsidRDefault="0080757D">
      <w:pPr>
        <w:jc w:val="center"/>
        <w:rPr>
          <w:sz w:val="72"/>
          <w:szCs w:val="72"/>
        </w:rPr>
      </w:pPr>
      <w:r>
        <w:rPr>
          <w:rFonts w:hint="eastAsia"/>
          <w:sz w:val="72"/>
          <w:szCs w:val="72"/>
        </w:rPr>
        <w:t>第二部分</w:t>
      </w:r>
    </w:p>
    <w:p w:rsidR="00BA7D56" w:rsidRDefault="00BA7D56">
      <w:pPr>
        <w:jc w:val="center"/>
        <w:rPr>
          <w:sz w:val="72"/>
          <w:szCs w:val="72"/>
        </w:rPr>
      </w:pPr>
    </w:p>
    <w:p w:rsidR="00BA7D56" w:rsidRDefault="0080757D">
      <w:pPr>
        <w:jc w:val="center"/>
        <w:rPr>
          <w:sz w:val="72"/>
          <w:szCs w:val="72"/>
        </w:rPr>
      </w:pPr>
      <w:r>
        <w:rPr>
          <w:rFonts w:hint="eastAsia"/>
          <w:sz w:val="72"/>
          <w:szCs w:val="72"/>
        </w:rPr>
        <w:t>部门决算表（详见附表）</w:t>
      </w:r>
    </w:p>
    <w:p w:rsidR="00BA7D56" w:rsidRDefault="00BA7D56">
      <w:pPr>
        <w:jc w:val="center"/>
        <w:rPr>
          <w:sz w:val="72"/>
          <w:szCs w:val="72"/>
        </w:rPr>
      </w:pPr>
    </w:p>
    <w:p w:rsidR="00BA7D56" w:rsidRDefault="00BA7D56">
      <w:pPr>
        <w:pStyle w:val="Default"/>
        <w:rPr>
          <w:sz w:val="72"/>
          <w:szCs w:val="72"/>
        </w:rPr>
        <w:sectPr w:rsidR="00BA7D56">
          <w:pgSz w:w="16838" w:h="11906" w:orient="landscape"/>
          <w:pgMar w:top="720" w:right="720" w:bottom="720" w:left="720" w:header="851" w:footer="992" w:gutter="0"/>
          <w:cols w:space="425"/>
          <w:docGrid w:type="lines" w:linePitch="312"/>
        </w:sectPr>
      </w:pPr>
    </w:p>
    <w:p w:rsidR="00BA7D56" w:rsidRDefault="00BA7D56">
      <w:pPr>
        <w:pStyle w:val="Default"/>
        <w:rPr>
          <w:sz w:val="72"/>
          <w:szCs w:val="72"/>
        </w:rPr>
      </w:pPr>
    </w:p>
    <w:p w:rsidR="00BA7D56" w:rsidRDefault="00BA7D56">
      <w:pPr>
        <w:pStyle w:val="Default"/>
        <w:rPr>
          <w:sz w:val="72"/>
          <w:szCs w:val="72"/>
        </w:rPr>
      </w:pPr>
    </w:p>
    <w:p w:rsidR="00BA7D56" w:rsidRDefault="00BA7D56">
      <w:pPr>
        <w:pStyle w:val="Default"/>
        <w:rPr>
          <w:sz w:val="72"/>
          <w:szCs w:val="72"/>
        </w:rPr>
      </w:pPr>
    </w:p>
    <w:p w:rsidR="00BA7D56" w:rsidRDefault="00BA7D56">
      <w:pPr>
        <w:pStyle w:val="Default"/>
        <w:jc w:val="center"/>
        <w:rPr>
          <w:sz w:val="72"/>
          <w:szCs w:val="72"/>
        </w:rPr>
      </w:pPr>
    </w:p>
    <w:p w:rsidR="00BA7D56" w:rsidRDefault="00BA7D56">
      <w:pPr>
        <w:pStyle w:val="Default"/>
        <w:jc w:val="center"/>
        <w:rPr>
          <w:sz w:val="72"/>
          <w:szCs w:val="72"/>
        </w:rPr>
      </w:pPr>
    </w:p>
    <w:p w:rsidR="00BA7D56" w:rsidRDefault="0080757D">
      <w:pPr>
        <w:pStyle w:val="Default"/>
        <w:jc w:val="center"/>
        <w:rPr>
          <w:sz w:val="72"/>
          <w:szCs w:val="72"/>
        </w:rPr>
      </w:pPr>
      <w:r>
        <w:rPr>
          <w:rFonts w:hint="eastAsia"/>
          <w:sz w:val="72"/>
          <w:szCs w:val="72"/>
        </w:rPr>
        <w:t>第三部分</w:t>
      </w:r>
    </w:p>
    <w:p w:rsidR="00BA7D56" w:rsidRDefault="00BA7D56">
      <w:pPr>
        <w:pStyle w:val="Default"/>
        <w:jc w:val="center"/>
        <w:rPr>
          <w:sz w:val="70"/>
          <w:szCs w:val="70"/>
        </w:rPr>
      </w:pPr>
    </w:p>
    <w:p w:rsidR="00BA7D56" w:rsidRDefault="0080757D">
      <w:pPr>
        <w:pStyle w:val="Default"/>
        <w:jc w:val="center"/>
        <w:rPr>
          <w:sz w:val="70"/>
          <w:szCs w:val="70"/>
        </w:rPr>
      </w:pPr>
      <w:r>
        <w:rPr>
          <w:sz w:val="70"/>
          <w:szCs w:val="70"/>
        </w:rPr>
        <w:t>2019</w:t>
      </w:r>
      <w:r>
        <w:rPr>
          <w:rFonts w:hint="eastAsia"/>
          <w:sz w:val="70"/>
          <w:szCs w:val="70"/>
        </w:rPr>
        <w:t>年度部门决算情况说明</w:t>
      </w:r>
    </w:p>
    <w:p w:rsidR="00BA7D56" w:rsidRDefault="0080757D">
      <w:pPr>
        <w:widowControl/>
        <w:jc w:val="left"/>
        <w:rPr>
          <w:rFonts w:ascii="黑体" w:eastAsia="黑体" w:cs="黑体"/>
          <w:color w:val="000000"/>
          <w:kern w:val="0"/>
          <w:sz w:val="70"/>
          <w:szCs w:val="70"/>
        </w:rPr>
      </w:pPr>
      <w:r>
        <w:rPr>
          <w:sz w:val="70"/>
          <w:szCs w:val="70"/>
        </w:rPr>
        <w:br w:type="page"/>
      </w:r>
    </w:p>
    <w:p w:rsidR="00BA7D56" w:rsidRDefault="00BA7D56">
      <w:pPr>
        <w:pStyle w:val="Default"/>
        <w:rPr>
          <w:rFonts w:asciiTheme="minorEastAsia" w:eastAsiaTheme="minorEastAsia" w:hAnsiTheme="minorEastAsia"/>
          <w:sz w:val="32"/>
          <w:szCs w:val="32"/>
        </w:rPr>
      </w:pPr>
    </w:p>
    <w:p w:rsidR="00BA7D56" w:rsidRDefault="0080757D">
      <w:pPr>
        <w:pStyle w:val="Default"/>
        <w:rPr>
          <w:rFonts w:hAnsi="黑体"/>
          <w:b/>
          <w:sz w:val="32"/>
          <w:szCs w:val="32"/>
        </w:rPr>
      </w:pPr>
      <w:r>
        <w:rPr>
          <w:rFonts w:hAnsi="黑体" w:hint="eastAsia"/>
          <w:b/>
          <w:sz w:val="32"/>
          <w:szCs w:val="32"/>
        </w:rPr>
        <w:t>一、收入支出决算总体情况说明</w:t>
      </w:r>
    </w:p>
    <w:p w:rsidR="00BA7D56" w:rsidRPr="00FA4E52" w:rsidRDefault="0080757D">
      <w:pPr>
        <w:pStyle w:val="Default"/>
        <w:ind w:firstLineChars="200" w:firstLine="640"/>
        <w:rPr>
          <w:rFonts w:asciiTheme="minorEastAsia" w:eastAsiaTheme="minorEastAsia" w:hAnsiTheme="minorEastAsia"/>
          <w:color w:val="000000" w:themeColor="text1"/>
          <w:sz w:val="32"/>
          <w:szCs w:val="32"/>
        </w:rPr>
      </w:pPr>
      <w:r w:rsidRPr="00FA4E52">
        <w:rPr>
          <w:rFonts w:asciiTheme="minorEastAsia" w:eastAsiaTheme="minorEastAsia" w:hAnsiTheme="minorEastAsia" w:hint="eastAsia"/>
          <w:sz w:val="32"/>
          <w:szCs w:val="32"/>
        </w:rPr>
        <w:t>2019 年收入总计 345.62万元，其中一般公共预算财政拨款收入228.55万元，其它收入117.08万</w:t>
      </w:r>
      <w:r w:rsidRPr="00FA4E52">
        <w:rPr>
          <w:rFonts w:asciiTheme="minorEastAsia" w:eastAsiaTheme="minorEastAsia" w:hAnsiTheme="minorEastAsia" w:hint="eastAsia"/>
          <w:color w:val="000000" w:themeColor="text1"/>
          <w:sz w:val="32"/>
          <w:szCs w:val="32"/>
        </w:rPr>
        <w:t>元，与2018年相比增加156.02万元，增长</w:t>
      </w:r>
      <w:r w:rsidR="009C0352">
        <w:rPr>
          <w:rFonts w:asciiTheme="minorEastAsia" w:eastAsiaTheme="minorEastAsia" w:hAnsiTheme="minorEastAsia" w:hint="eastAsia"/>
          <w:color w:val="000000" w:themeColor="text1"/>
          <w:sz w:val="32"/>
          <w:szCs w:val="32"/>
        </w:rPr>
        <w:t>82.3</w:t>
      </w:r>
      <w:r w:rsidRPr="00FA4E52">
        <w:rPr>
          <w:rFonts w:asciiTheme="minorEastAsia" w:eastAsiaTheme="minorEastAsia" w:hAnsiTheme="minorEastAsia" w:hint="eastAsia"/>
          <w:color w:val="000000" w:themeColor="text1"/>
          <w:sz w:val="32"/>
          <w:szCs w:val="32"/>
        </w:rPr>
        <w:t>%，主要是因为其它</w:t>
      </w:r>
      <w:r w:rsidRPr="00FA4E52">
        <w:rPr>
          <w:rFonts w:asciiTheme="minorEastAsia" w:eastAsiaTheme="minorEastAsia" w:hAnsiTheme="minorEastAsia"/>
          <w:color w:val="000000" w:themeColor="text1"/>
          <w:sz w:val="32"/>
          <w:szCs w:val="32"/>
        </w:rPr>
        <w:t>收入增加。</w:t>
      </w:r>
      <w:r w:rsidR="00A747F2" w:rsidRPr="00FA4E52">
        <w:rPr>
          <w:rFonts w:asciiTheme="minorEastAsia" w:eastAsiaTheme="minorEastAsia" w:hAnsiTheme="minorEastAsia" w:hint="eastAsia"/>
          <w:color w:val="000000" w:themeColor="text1"/>
          <w:sz w:val="32"/>
          <w:szCs w:val="32"/>
        </w:rPr>
        <w:t>主要是因为土地确权项目经费增加。</w:t>
      </w:r>
      <w:r w:rsidRPr="00FA4E52">
        <w:rPr>
          <w:rFonts w:asciiTheme="minorEastAsia" w:eastAsiaTheme="minorEastAsia" w:hAnsiTheme="minorEastAsia" w:hint="eastAsia"/>
          <w:color w:val="000000" w:themeColor="text1"/>
          <w:sz w:val="32"/>
          <w:szCs w:val="32"/>
        </w:rPr>
        <w:t>2019 年支出总计 334.4万元，其中基本支出199.35万元，其它支出117.08万元，与2018年相比增加156.02万元，增长</w:t>
      </w:r>
      <w:r w:rsidR="009C0352">
        <w:rPr>
          <w:rFonts w:asciiTheme="minorEastAsia" w:eastAsiaTheme="minorEastAsia" w:hAnsiTheme="minorEastAsia" w:hint="eastAsia"/>
          <w:color w:val="000000" w:themeColor="text1"/>
          <w:sz w:val="32"/>
          <w:szCs w:val="32"/>
        </w:rPr>
        <w:t>82.3</w:t>
      </w:r>
      <w:r w:rsidRPr="00FA4E52">
        <w:rPr>
          <w:rFonts w:asciiTheme="minorEastAsia" w:eastAsiaTheme="minorEastAsia" w:hAnsiTheme="minorEastAsia" w:hint="eastAsia"/>
          <w:color w:val="000000" w:themeColor="text1"/>
          <w:sz w:val="32"/>
          <w:szCs w:val="32"/>
        </w:rPr>
        <w:t>%，主要是因为其它支出</w:t>
      </w:r>
      <w:r w:rsidRPr="00FA4E52">
        <w:rPr>
          <w:rFonts w:asciiTheme="minorEastAsia" w:eastAsiaTheme="minorEastAsia" w:hAnsiTheme="minorEastAsia"/>
          <w:color w:val="000000" w:themeColor="text1"/>
          <w:sz w:val="32"/>
          <w:szCs w:val="32"/>
        </w:rPr>
        <w:t>增加。</w:t>
      </w:r>
      <w:r w:rsidR="00A747F2" w:rsidRPr="00FA4E52">
        <w:rPr>
          <w:rFonts w:asciiTheme="minorEastAsia" w:eastAsiaTheme="minorEastAsia" w:hAnsiTheme="minorEastAsia" w:hint="eastAsia"/>
          <w:color w:val="000000" w:themeColor="text1"/>
          <w:sz w:val="32"/>
          <w:szCs w:val="32"/>
        </w:rPr>
        <w:t>主要是因为土地确权项目经费增加。</w:t>
      </w:r>
    </w:p>
    <w:p w:rsidR="00BA7D56" w:rsidRPr="00FA4E52" w:rsidRDefault="00BA7D56">
      <w:pPr>
        <w:pStyle w:val="Default"/>
        <w:ind w:firstLineChars="200" w:firstLine="640"/>
        <w:rPr>
          <w:rFonts w:asciiTheme="minorEastAsia" w:eastAsiaTheme="minorEastAsia" w:hAnsiTheme="minorEastAsia"/>
          <w:sz w:val="32"/>
          <w:szCs w:val="32"/>
        </w:rPr>
      </w:pPr>
    </w:p>
    <w:p w:rsidR="00BA7D56" w:rsidRPr="00FA4E52" w:rsidRDefault="0080757D">
      <w:pPr>
        <w:pStyle w:val="Default"/>
        <w:rPr>
          <w:rFonts w:hAnsi="黑体"/>
          <w:b/>
          <w:color w:val="000000" w:themeColor="text1"/>
          <w:sz w:val="32"/>
          <w:szCs w:val="32"/>
        </w:rPr>
      </w:pPr>
      <w:r w:rsidRPr="00FA4E52">
        <w:rPr>
          <w:rFonts w:hAnsi="黑体" w:hint="eastAsia"/>
          <w:b/>
          <w:sz w:val="32"/>
          <w:szCs w:val="32"/>
        </w:rPr>
        <w:t>二、收入决算情况说明</w:t>
      </w:r>
    </w:p>
    <w:p w:rsidR="00BA7D56" w:rsidRDefault="0080757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本年收入合计345.62万元，其中：财政拨款收入228.5万元，占66.1%；上级补助收入0万元，占0%；事业收入0万元，占0%；经营收入0万元，占0%；附属单位上缴收入0万元，占0%；其他收入117.08万元，占33.9%。</w:t>
      </w:r>
    </w:p>
    <w:p w:rsidR="00BA7D56" w:rsidRDefault="0080757D">
      <w:pPr>
        <w:pStyle w:val="Default"/>
        <w:rPr>
          <w:rFonts w:hAnsi="黑体"/>
          <w:b/>
          <w:sz w:val="32"/>
          <w:szCs w:val="32"/>
        </w:rPr>
      </w:pPr>
      <w:r>
        <w:rPr>
          <w:rFonts w:hAnsi="黑体" w:hint="eastAsia"/>
          <w:b/>
          <w:sz w:val="32"/>
          <w:szCs w:val="32"/>
        </w:rPr>
        <w:t>三、支出决算情况说明</w:t>
      </w:r>
    </w:p>
    <w:p w:rsidR="00BA7D56" w:rsidRDefault="0080757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本年支出合计334.40万元，其中：基本支出334.40万元，占100%；项目支出0万元，占0%；上缴上级支出0万元，占0%；经营支出0万元，占0%；对附属单位补助支出0万元，占0%。</w:t>
      </w:r>
    </w:p>
    <w:p w:rsidR="00BA7D56" w:rsidRDefault="0080757D">
      <w:pPr>
        <w:pStyle w:val="Default"/>
        <w:rPr>
          <w:rFonts w:hAnsi="黑体"/>
          <w:b/>
          <w:sz w:val="32"/>
          <w:szCs w:val="32"/>
        </w:rPr>
      </w:pPr>
      <w:r>
        <w:rPr>
          <w:rFonts w:hAnsi="黑体" w:hint="eastAsia"/>
          <w:b/>
          <w:sz w:val="32"/>
          <w:szCs w:val="32"/>
        </w:rPr>
        <w:t>四、财政拨款收入支出决算总体情况说明</w:t>
      </w:r>
    </w:p>
    <w:p w:rsidR="00BA7D56" w:rsidRDefault="0080757D">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2019年度财政拨款收入共计228.55万元，与2018年相比，增加48.92万元,增长</w:t>
      </w:r>
      <w:r w:rsidR="00C40944">
        <w:rPr>
          <w:rFonts w:asciiTheme="minorEastAsia" w:eastAsiaTheme="minorEastAsia" w:hAnsiTheme="minorEastAsia" w:hint="eastAsia"/>
          <w:sz w:val="32"/>
          <w:szCs w:val="32"/>
        </w:rPr>
        <w:t>27.2</w:t>
      </w:r>
      <w:r>
        <w:rPr>
          <w:rFonts w:asciiTheme="minorEastAsia" w:eastAsiaTheme="minorEastAsia" w:hAnsiTheme="minorEastAsia" w:hint="eastAsia"/>
          <w:sz w:val="32"/>
          <w:szCs w:val="32"/>
        </w:rPr>
        <w:t>%，主要是因为经费收入增加。2019年度财政拨款支出共计217.32万元，与2018年相比，增加48.92万元,增长</w:t>
      </w:r>
      <w:r w:rsidR="00C40944">
        <w:rPr>
          <w:rFonts w:asciiTheme="minorEastAsia" w:eastAsiaTheme="minorEastAsia" w:hAnsiTheme="minorEastAsia" w:hint="eastAsia"/>
          <w:sz w:val="32"/>
          <w:szCs w:val="32"/>
        </w:rPr>
        <w:t>27.2</w:t>
      </w:r>
      <w:r>
        <w:rPr>
          <w:rFonts w:asciiTheme="minorEastAsia" w:eastAsiaTheme="minorEastAsia" w:hAnsiTheme="minorEastAsia" w:hint="eastAsia"/>
          <w:sz w:val="32"/>
          <w:szCs w:val="32"/>
        </w:rPr>
        <w:t>%，主要是因为经费收入增加。</w:t>
      </w:r>
    </w:p>
    <w:p w:rsidR="00BA7D56" w:rsidRDefault="00BA7D56">
      <w:pPr>
        <w:pStyle w:val="Default"/>
        <w:rPr>
          <w:rFonts w:asciiTheme="minorEastAsia" w:eastAsiaTheme="minorEastAsia" w:hAnsiTheme="minorEastAsia"/>
          <w:sz w:val="32"/>
          <w:szCs w:val="32"/>
        </w:rPr>
      </w:pPr>
    </w:p>
    <w:p w:rsidR="00BA7D56" w:rsidRDefault="0080757D">
      <w:pPr>
        <w:pStyle w:val="Default"/>
        <w:rPr>
          <w:rFonts w:hAnsi="黑体"/>
          <w:b/>
          <w:sz w:val="32"/>
          <w:szCs w:val="32"/>
        </w:rPr>
      </w:pPr>
      <w:r>
        <w:rPr>
          <w:rFonts w:hAnsi="黑体" w:hint="eastAsia"/>
          <w:b/>
          <w:sz w:val="32"/>
          <w:szCs w:val="32"/>
        </w:rPr>
        <w:t>五、一般公共预算财政拨款支出决算情况说明</w:t>
      </w:r>
    </w:p>
    <w:p w:rsidR="00BA7D56" w:rsidRDefault="0080757D" w:rsidP="00A747F2">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（一）财政拨款支出决算总体情况</w:t>
      </w:r>
    </w:p>
    <w:p w:rsidR="00BA7D56" w:rsidRDefault="0080757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2019年度财政拨款支出217.32万元，占本年支出合计的100%，与2018年相比，财政拨款支出增加31.28万元，增长</w:t>
      </w:r>
      <w:r w:rsidR="005C4CB6">
        <w:rPr>
          <w:rFonts w:asciiTheme="minorEastAsia" w:eastAsiaTheme="minorEastAsia" w:hAnsiTheme="minorEastAsia" w:hint="eastAsia"/>
          <w:sz w:val="32"/>
          <w:szCs w:val="32"/>
        </w:rPr>
        <w:t>16.8</w:t>
      </w:r>
      <w:bookmarkStart w:id="0" w:name="_GoBack"/>
      <w:bookmarkEnd w:id="0"/>
      <w:r>
        <w:rPr>
          <w:rFonts w:asciiTheme="minorEastAsia" w:eastAsiaTheme="minorEastAsia" w:hAnsiTheme="minorEastAsia" w:hint="eastAsia"/>
          <w:sz w:val="32"/>
          <w:szCs w:val="32"/>
        </w:rPr>
        <w:t>%，主要是因为</w:t>
      </w:r>
      <w:r>
        <w:rPr>
          <w:rFonts w:asciiTheme="minorEastAsia" w:eastAsiaTheme="minorEastAsia" w:hAnsiTheme="minorEastAsia"/>
          <w:sz w:val="32"/>
          <w:szCs w:val="32"/>
        </w:rPr>
        <w:t>工资公用经费增加。</w:t>
      </w:r>
    </w:p>
    <w:p w:rsidR="00BA7D56" w:rsidRDefault="0080757D" w:rsidP="00A747F2">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BA7D56" w:rsidRDefault="0080757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2019年度财政拨款支出217.32万元，其中人员经费（类）支出74.65万元，占34.35%;日常公用经费（类）支出142.67万元万元，占65.65%。</w:t>
      </w:r>
    </w:p>
    <w:p w:rsidR="00BA7D56" w:rsidRDefault="0080757D" w:rsidP="00A747F2">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BA7D56" w:rsidRDefault="0080757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2019年度财政拨款支出年初预算数为159.58万元，支出决算数为217.32万元，完成年初预算的136%，其中：</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1、社会保障和就业支出：归口管理的行政单位离退休208（类）05（款）01（项）。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年初预算为26.47万元，支出决算为0.48万元，完成年初预算的1.8%，决算数小于年初预算数的主要原因是：本年度离退休人员工资转至机关社保局发放。</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2、社会保障和就业支出：机关事业单位基本养老保险缴费支出208（类）05（款）05（项）。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年初预算为8.75万元，支出决算为8.75万元，完成年初预算的100%。</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4、卫生健康支出：行政单位医疗210（类）11（款）01（项）。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年初预算为3.5万元，支出决算为3.5万元，完成年初预算的100%。</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5、农业支出：农业行政运行213（类）01（款）01（项）。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年初预算为59.29万元，支出决算为97.64万元，完成年初预算的</w:t>
      </w:r>
      <w:r w:rsidR="00472CC0">
        <w:rPr>
          <w:rFonts w:asciiTheme="minorEastAsia" w:eastAsiaTheme="minorEastAsia" w:hAnsiTheme="minorEastAsia" w:hint="eastAsia"/>
          <w:color w:val="auto"/>
          <w:sz w:val="32"/>
          <w:szCs w:val="32"/>
        </w:rPr>
        <w:t>164.7</w:t>
      </w:r>
      <w:r>
        <w:rPr>
          <w:rFonts w:asciiTheme="minorEastAsia" w:eastAsiaTheme="minorEastAsia" w:hAnsiTheme="minorEastAsia" w:hint="eastAsia"/>
          <w:color w:val="auto"/>
          <w:sz w:val="32"/>
          <w:szCs w:val="32"/>
        </w:rPr>
        <w:t>%，决算数大于年初预算数的主要原因是：增加了一些专门的工作经费。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6、农业支出：农业行业业务管理213（类）01（款）12（项）。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lastRenderedPageBreak/>
        <w:t>年初预算为27万元，支出决算为19.71万元，完成年初预算的</w:t>
      </w:r>
      <w:r w:rsidR="00664FAA">
        <w:rPr>
          <w:rFonts w:asciiTheme="minorEastAsia" w:eastAsiaTheme="minorEastAsia" w:hAnsiTheme="minorEastAsia" w:hint="eastAsia"/>
          <w:color w:val="auto"/>
          <w:sz w:val="32"/>
          <w:szCs w:val="32"/>
        </w:rPr>
        <w:t>73</w:t>
      </w:r>
      <w:r>
        <w:rPr>
          <w:rFonts w:asciiTheme="minorEastAsia" w:eastAsiaTheme="minorEastAsia" w:hAnsiTheme="minorEastAsia" w:hint="eastAsia"/>
          <w:color w:val="auto"/>
          <w:sz w:val="32"/>
          <w:szCs w:val="32"/>
        </w:rPr>
        <w:t>%，决算数小于年初预算数的主要原因是：减少了一些工作经费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7、农业支出：农业组织化与产业化经营213（类）01（款）24（项）。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年初预算为26万元，支出决算为23万元，完成年初预算的88.46%，决算数小于年初预算数的主要原因是：减少了一些工作经费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8、农业支出：其它农业支出213（类）01（款）99（项）。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年初预算为3.33万元，支出决算为39万元，完成年初预算的1171.17%，决算数大于年初预算数的主要原因是：增加了一些专门的工作经费。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9、农业支出：其它农林水支出213（类）99（款）99（项）。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年初预算为0万元，支出决算为20万元，超年初预算20万，决算数大于年初预算数的主要原因是：增加了一些专门的工作经费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10、住房保障支出：住房公积金221（类）02（款）01（项）。</w:t>
      </w:r>
    </w:p>
    <w:p w:rsidR="00BA7D56" w:rsidRDefault="0080757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年初预算为5.25元，支出决算为5.25万元，完成年初预算的100%。</w:t>
      </w:r>
    </w:p>
    <w:p w:rsidR="00BA7D56" w:rsidRDefault="0080757D">
      <w:pPr>
        <w:pStyle w:val="Default"/>
        <w:rPr>
          <w:rFonts w:hAnsi="黑体"/>
          <w:b/>
          <w:sz w:val="32"/>
          <w:szCs w:val="32"/>
        </w:rPr>
      </w:pPr>
      <w:r>
        <w:rPr>
          <w:rFonts w:hAnsi="黑体" w:hint="eastAsia"/>
          <w:b/>
          <w:sz w:val="32"/>
          <w:szCs w:val="32"/>
        </w:rPr>
        <w:t>六、一般公共预算财政拨款基本支出决算情况说明</w:t>
      </w:r>
    </w:p>
    <w:p w:rsidR="00BA7D56" w:rsidRDefault="0080757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2019年度财政拨款基本支出217.3</w:t>
      </w:r>
      <w:r w:rsidR="005233EB">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万元，其中：人员经费74.65万元，</w:t>
      </w:r>
      <w:proofErr w:type="gramStart"/>
      <w:r>
        <w:rPr>
          <w:rFonts w:asciiTheme="minorEastAsia" w:eastAsiaTheme="minorEastAsia" w:hAnsiTheme="minorEastAsia" w:hint="eastAsia"/>
          <w:sz w:val="32"/>
          <w:szCs w:val="32"/>
        </w:rPr>
        <w:t>占基本</w:t>
      </w:r>
      <w:proofErr w:type="gramEnd"/>
      <w:r>
        <w:rPr>
          <w:rFonts w:asciiTheme="minorEastAsia" w:eastAsiaTheme="minorEastAsia" w:hAnsiTheme="minorEastAsia" w:hint="eastAsia"/>
          <w:sz w:val="32"/>
          <w:szCs w:val="32"/>
        </w:rPr>
        <w:t>支出的34.</w:t>
      </w:r>
      <w:r w:rsidR="005233EB">
        <w:rPr>
          <w:rFonts w:asciiTheme="minorEastAsia" w:eastAsiaTheme="minorEastAsia" w:hAnsiTheme="minorEastAsia" w:hint="eastAsia"/>
          <w:sz w:val="32"/>
          <w:szCs w:val="32"/>
        </w:rPr>
        <w:t>35</w:t>
      </w:r>
      <w:r>
        <w:rPr>
          <w:rFonts w:asciiTheme="minorEastAsia" w:eastAsiaTheme="minorEastAsia" w:hAnsiTheme="minorEastAsia" w:hint="eastAsia"/>
          <w:sz w:val="32"/>
          <w:szCs w:val="32"/>
        </w:rPr>
        <w:t>%,主要包括基本工资元、津贴补贴、奖金、伙食补助费、机关事业单位基本养老保险费、职工基本医疗保险、其它社会保障费等；公用经费142.67万元，</w:t>
      </w:r>
      <w:proofErr w:type="gramStart"/>
      <w:r>
        <w:rPr>
          <w:rFonts w:asciiTheme="minorEastAsia" w:eastAsiaTheme="minorEastAsia" w:hAnsiTheme="minorEastAsia" w:hint="eastAsia"/>
          <w:sz w:val="32"/>
          <w:szCs w:val="32"/>
        </w:rPr>
        <w:t>占基本</w:t>
      </w:r>
      <w:proofErr w:type="gramEnd"/>
      <w:r>
        <w:rPr>
          <w:rFonts w:asciiTheme="minorEastAsia" w:eastAsiaTheme="minorEastAsia" w:hAnsiTheme="minorEastAsia" w:hint="eastAsia"/>
          <w:sz w:val="32"/>
          <w:szCs w:val="32"/>
        </w:rPr>
        <w:t>支出的65.6</w:t>
      </w:r>
      <w:r w:rsidR="005233EB">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%，主要包括办公费、印刷费、咨询费、邮电费、差旅费、</w:t>
      </w:r>
      <w:r w:rsidR="001601D8">
        <w:rPr>
          <w:rFonts w:asciiTheme="minorEastAsia" w:eastAsiaTheme="minorEastAsia" w:hAnsiTheme="minorEastAsia" w:hint="eastAsia"/>
          <w:sz w:val="32"/>
          <w:szCs w:val="32"/>
        </w:rPr>
        <w:t>公务接待费、专用材料费、</w:t>
      </w:r>
      <w:r>
        <w:rPr>
          <w:rFonts w:asciiTheme="minorEastAsia" w:eastAsiaTheme="minorEastAsia" w:hAnsiTheme="minorEastAsia" w:hint="eastAsia"/>
          <w:sz w:val="32"/>
          <w:szCs w:val="32"/>
        </w:rPr>
        <w:t>手续费</w:t>
      </w:r>
      <w:r>
        <w:rPr>
          <w:rFonts w:asciiTheme="minorEastAsia" w:eastAsiaTheme="minorEastAsia" w:hAnsiTheme="minorEastAsia"/>
          <w:sz w:val="32"/>
          <w:szCs w:val="32"/>
        </w:rPr>
        <w:t>等</w:t>
      </w:r>
      <w:r>
        <w:rPr>
          <w:rFonts w:asciiTheme="minorEastAsia" w:eastAsiaTheme="minorEastAsia" w:hAnsiTheme="minorEastAsia" w:hint="eastAsia"/>
          <w:sz w:val="32"/>
          <w:szCs w:val="32"/>
        </w:rPr>
        <w:t>。</w:t>
      </w:r>
    </w:p>
    <w:p w:rsidR="00BA7D56" w:rsidRDefault="0080757D">
      <w:pPr>
        <w:pStyle w:val="Default"/>
        <w:rPr>
          <w:rFonts w:hAnsi="黑体"/>
          <w:b/>
          <w:sz w:val="32"/>
          <w:szCs w:val="32"/>
        </w:rPr>
      </w:pPr>
      <w:r>
        <w:rPr>
          <w:rFonts w:hAnsi="黑体" w:hint="eastAsia"/>
          <w:b/>
          <w:sz w:val="32"/>
          <w:szCs w:val="32"/>
        </w:rPr>
        <w:t>七、一般公共预算财政拨款三</w:t>
      </w:r>
      <w:proofErr w:type="gramStart"/>
      <w:r>
        <w:rPr>
          <w:rFonts w:hAnsi="黑体" w:hint="eastAsia"/>
          <w:b/>
          <w:sz w:val="32"/>
          <w:szCs w:val="32"/>
        </w:rPr>
        <w:t>公经费</w:t>
      </w:r>
      <w:proofErr w:type="gramEnd"/>
      <w:r>
        <w:rPr>
          <w:rFonts w:hAnsi="黑体" w:hint="eastAsia"/>
          <w:b/>
          <w:sz w:val="32"/>
          <w:szCs w:val="32"/>
        </w:rPr>
        <w:t>支出决算情况说明</w:t>
      </w:r>
    </w:p>
    <w:p w:rsidR="00BA7D56" w:rsidRDefault="0080757D">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BA7D56" w:rsidRDefault="0080757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“三公”经费财政拨款支出预算为3.25万元，支出决算为3.01万元，完成预算的92%，其中：</w:t>
      </w:r>
    </w:p>
    <w:p w:rsidR="00BA7D56" w:rsidRDefault="0080757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w:t>
      </w:r>
      <w:r>
        <w:rPr>
          <w:rFonts w:asciiTheme="minorEastAsia" w:eastAsiaTheme="minorEastAsia" w:hAnsiTheme="minorEastAsia" w:hint="eastAsia"/>
          <w:sz w:val="32"/>
          <w:szCs w:val="32"/>
        </w:rPr>
        <w:lastRenderedPageBreak/>
        <w:t>0%，主要原因是我单位无因公出国（境）费支出。</w:t>
      </w:r>
    </w:p>
    <w:p w:rsidR="00BA7D56" w:rsidRDefault="0080757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公务接待费支出预算为3.25万元，支出决算为3.01万元，完成预算的92%，决算数小于年初预算数的主要原因是厉行节约，与上年相比减少0.38万元，减少11%,减少的主要原因是厉行节约。</w:t>
      </w:r>
    </w:p>
    <w:p w:rsidR="00BA7D56" w:rsidRDefault="0080757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公务用车购置费及运行维护费支出预算为0万元，支出决算为0万元，主要原因是我单位无公务用车。</w:t>
      </w:r>
    </w:p>
    <w:p w:rsidR="00BA7D56" w:rsidRDefault="0080757D">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BA7D56" w:rsidRDefault="0080757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2019年度“三公”经费财政拨款支出决算中，公务接待费支出决算3</w:t>
      </w:r>
      <w:r w:rsidR="00F0371D">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万元，占100%,因公出国（境）费支出决算0万元，占0%,公务用车购置费及运行维护费支出决算0万元，占0%。其中：</w:t>
      </w:r>
    </w:p>
    <w:p w:rsidR="00BA7D56" w:rsidRDefault="0080757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1、因公出国（境）费支出决算为0万元，全年安排因公出国（境）团组0个，累计0人次,我单位无因公出国（境）费支出。</w:t>
      </w:r>
    </w:p>
    <w:p w:rsidR="00BA7D56" w:rsidRDefault="0080757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2、公务接待费支出决算为3</w:t>
      </w:r>
      <w:r w:rsidR="00F0371D">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万元，全年共接待来访团组14个、来宾45人次，主要是开展</w:t>
      </w:r>
      <w:r>
        <w:rPr>
          <w:rFonts w:asciiTheme="minorEastAsia" w:eastAsiaTheme="minorEastAsia" w:hAnsiTheme="minorEastAsia"/>
          <w:sz w:val="32"/>
          <w:szCs w:val="32"/>
        </w:rPr>
        <w:t>业务活动</w:t>
      </w:r>
      <w:r>
        <w:rPr>
          <w:rFonts w:asciiTheme="minorEastAsia" w:eastAsiaTheme="minorEastAsia" w:hAnsiTheme="minorEastAsia" w:hint="eastAsia"/>
          <w:sz w:val="32"/>
          <w:szCs w:val="32"/>
        </w:rPr>
        <w:t>发生的接待支出。</w:t>
      </w:r>
    </w:p>
    <w:p w:rsidR="00BA7D56" w:rsidRDefault="0080757D">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3、公务用车购置费及运行维护费支出决算为0万元，其中：公务用车购置费0万元</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公务用车运行维护费0万元，主要是我</w:t>
      </w:r>
      <w:r>
        <w:rPr>
          <w:rFonts w:asciiTheme="minorEastAsia" w:hAnsiTheme="minorEastAsia"/>
          <w:sz w:val="32"/>
          <w:szCs w:val="32"/>
        </w:rPr>
        <w:t>单位无公务用车，无</w:t>
      </w:r>
      <w:r>
        <w:rPr>
          <w:rFonts w:asciiTheme="minorEastAsia" w:hAnsiTheme="minorEastAsia" w:hint="eastAsia"/>
          <w:sz w:val="32"/>
          <w:szCs w:val="32"/>
        </w:rPr>
        <w:t>支出，截止2019年12月31日，我单位开支财政拨款的公务用车保有量为0辆。</w:t>
      </w:r>
    </w:p>
    <w:p w:rsidR="00BA7D56" w:rsidRDefault="0080757D">
      <w:pPr>
        <w:pStyle w:val="Default"/>
        <w:rPr>
          <w:rFonts w:hAnsi="黑体"/>
          <w:b/>
          <w:sz w:val="32"/>
          <w:szCs w:val="32"/>
        </w:rPr>
      </w:pPr>
      <w:r>
        <w:rPr>
          <w:rFonts w:hAnsi="黑体" w:hint="eastAsia"/>
          <w:b/>
          <w:sz w:val="32"/>
          <w:szCs w:val="32"/>
        </w:rPr>
        <w:t>八、政府性基金预算收入支出决算情况</w:t>
      </w:r>
    </w:p>
    <w:p w:rsidR="00BA7D56" w:rsidRDefault="0080757D">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2019年度政府性基金预算财政拨款收入0万元；年初结转和结余0万元；支出0万元，其中基本支出0万元，项目支出0万元；年末结转和结余0万元。</w:t>
      </w:r>
      <w:r>
        <w:rPr>
          <w:rFonts w:asciiTheme="minorEastAsia" w:eastAsiaTheme="minorEastAsia" w:hAnsiTheme="minorEastAsia" w:hint="eastAsia"/>
          <w:color w:val="auto"/>
          <w:sz w:val="32"/>
          <w:szCs w:val="32"/>
        </w:rPr>
        <w:t>本单位无政府性基金。</w:t>
      </w:r>
    </w:p>
    <w:p w:rsidR="00BA7D56" w:rsidRDefault="0080757D">
      <w:pPr>
        <w:pStyle w:val="Default"/>
        <w:rPr>
          <w:rFonts w:hAnsi="黑体"/>
          <w:b/>
          <w:sz w:val="32"/>
          <w:szCs w:val="32"/>
        </w:rPr>
      </w:pPr>
      <w:r>
        <w:rPr>
          <w:rFonts w:hAnsi="黑体" w:hint="eastAsia"/>
          <w:b/>
          <w:sz w:val="32"/>
          <w:szCs w:val="32"/>
        </w:rPr>
        <w:t>九、关于2019年度预算绩效情况说明</w:t>
      </w:r>
    </w:p>
    <w:p w:rsidR="00BA7D56" w:rsidRDefault="0080757D">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本部门预算绩效管理开展情况、绩效目标和绩效评价报告附后</w:t>
      </w:r>
    </w:p>
    <w:p w:rsidR="00BA7D56" w:rsidRDefault="0080757D">
      <w:pPr>
        <w:pStyle w:val="Default"/>
        <w:rPr>
          <w:rFonts w:hAnsi="黑体"/>
          <w:b/>
          <w:sz w:val="32"/>
          <w:szCs w:val="32"/>
        </w:rPr>
      </w:pPr>
      <w:r>
        <w:rPr>
          <w:rFonts w:hAnsi="黑体" w:hint="eastAsia"/>
          <w:b/>
          <w:sz w:val="32"/>
          <w:szCs w:val="32"/>
        </w:rPr>
        <w:lastRenderedPageBreak/>
        <w:t>十、其他重要事项情况说明</w:t>
      </w:r>
    </w:p>
    <w:p w:rsidR="00BA7D56" w:rsidRDefault="0080757D" w:rsidP="00A747F2">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（一）机关运行经费支出情况</w:t>
      </w:r>
    </w:p>
    <w:p w:rsidR="00BA7D56" w:rsidRDefault="0080757D">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本部门2019 年度机关运行经费支出142.67万元，</w:t>
      </w:r>
      <w:r>
        <w:rPr>
          <w:rFonts w:asciiTheme="minorEastAsia" w:hAnsiTheme="minorEastAsia" w:hint="eastAsia"/>
          <w:sz w:val="32"/>
          <w:szCs w:val="32"/>
        </w:rPr>
        <w:t>商品和服务支出142.67万元，</w:t>
      </w:r>
      <w:proofErr w:type="gramStart"/>
      <w:r>
        <w:rPr>
          <w:rFonts w:asciiTheme="minorEastAsia" w:hAnsiTheme="minorEastAsia" w:hint="eastAsia"/>
          <w:sz w:val="32"/>
          <w:szCs w:val="32"/>
        </w:rPr>
        <w:t>占基本</w:t>
      </w:r>
      <w:proofErr w:type="gramEnd"/>
      <w:r>
        <w:rPr>
          <w:rFonts w:asciiTheme="minorEastAsia" w:hAnsiTheme="minorEastAsia" w:hint="eastAsia"/>
          <w:sz w:val="32"/>
          <w:szCs w:val="32"/>
        </w:rPr>
        <w:t>支出的100%，主要包括办公费、印刷费、咨询费、邮电费、差旅费、公务接待费、专用材料费、手续费</w:t>
      </w:r>
      <w:r>
        <w:rPr>
          <w:rFonts w:asciiTheme="minorEastAsia" w:hAnsiTheme="minorEastAsia"/>
          <w:sz w:val="32"/>
          <w:szCs w:val="32"/>
        </w:rPr>
        <w:t>等</w:t>
      </w:r>
      <w:r>
        <w:rPr>
          <w:rFonts w:asciiTheme="minorEastAsia" w:hAnsiTheme="minorEastAsia" w:cs="黑体" w:hint="eastAsia"/>
          <w:color w:val="000000"/>
          <w:kern w:val="0"/>
          <w:sz w:val="32"/>
          <w:szCs w:val="32"/>
        </w:rPr>
        <w:t>，比年初预算数减少16.91万元，降低11.85%。主要原因是厉行节约。</w:t>
      </w:r>
    </w:p>
    <w:p w:rsidR="00BA7D56" w:rsidRDefault="0080757D" w:rsidP="00A747F2">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（二）一般性支出情况</w:t>
      </w:r>
    </w:p>
    <w:p w:rsidR="00BA7D56" w:rsidRDefault="0080757D">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2019年本部门开支会议费0万元，用于召开0会议，人数0人，我单位无会我单位无其他培训费等支出。</w:t>
      </w:r>
    </w:p>
    <w:p w:rsidR="00BA7D56" w:rsidRDefault="0080757D" w:rsidP="00A747F2">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（三）政府采购支出情况</w:t>
      </w:r>
    </w:p>
    <w:p w:rsidR="00BA7D56" w:rsidRDefault="0080757D">
      <w:pPr>
        <w:ind w:firstLineChars="200" w:firstLine="640"/>
        <w:rPr>
          <w:rFonts w:asciiTheme="minorEastAsia" w:hAnsiTheme="minorEastAsia" w:cs="黑体"/>
          <w:i/>
          <w:color w:val="FF0000"/>
          <w:kern w:val="0"/>
          <w:sz w:val="32"/>
          <w:szCs w:val="32"/>
        </w:rPr>
      </w:pPr>
      <w:r>
        <w:rPr>
          <w:rFonts w:asciiTheme="minorEastAsia" w:hAnsiTheme="minorEastAsia" w:cs="黑体" w:hint="eastAsia"/>
          <w:color w:val="000000"/>
          <w:kern w:val="0"/>
          <w:sz w:val="32"/>
          <w:szCs w:val="32"/>
        </w:rPr>
        <w:t>本部门2019年度政府采购支出总额0万元，其中：政府采购货物支出0万元、政府采购工程支出0万元、政府采购服务支出0万元。授予中小企业合同金额0万元，占政府采购支出总额的0%，其中：授予小</w:t>
      </w:r>
      <w:proofErr w:type="gramStart"/>
      <w:r>
        <w:rPr>
          <w:rFonts w:asciiTheme="minorEastAsia" w:hAnsiTheme="minorEastAsia" w:cs="黑体" w:hint="eastAsia"/>
          <w:color w:val="000000"/>
          <w:kern w:val="0"/>
          <w:sz w:val="32"/>
          <w:szCs w:val="32"/>
        </w:rPr>
        <w:t>微企业</w:t>
      </w:r>
      <w:proofErr w:type="gramEnd"/>
      <w:r>
        <w:rPr>
          <w:rFonts w:asciiTheme="minorEastAsia" w:hAnsiTheme="minorEastAsia" w:cs="黑体" w:hint="eastAsia"/>
          <w:color w:val="000000"/>
          <w:kern w:val="0"/>
          <w:sz w:val="32"/>
          <w:szCs w:val="32"/>
        </w:rPr>
        <w:t>合同金额0万元，占政府采购支出总额的0%。我单位无政府采购支出。</w:t>
      </w:r>
    </w:p>
    <w:p w:rsidR="00BA7D56" w:rsidRDefault="0080757D" w:rsidP="00A747F2">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（四）国有资产占用情况</w:t>
      </w:r>
    </w:p>
    <w:p w:rsidR="00BA7D56" w:rsidRDefault="0080757D">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截至2019年12月31日，本单位共有车辆0辆，其中，领导干部用车0辆、机要通信用车0辆、应急保障用车0辆、执法执勤用车0辆、特种专业技术用车0辆、其他用车0辆；单位价值50万元以上通用设备0台（套）；单位价值100万元以上专用设备0台（套）。</w:t>
      </w:r>
    </w:p>
    <w:p w:rsidR="00BA7D56" w:rsidRDefault="0080757D">
      <w:pPr>
        <w:widowControl/>
        <w:jc w:val="left"/>
        <w:rPr>
          <w:rFonts w:asciiTheme="minorEastAsia" w:hAnsiTheme="minorEastAsia" w:cs="黑体"/>
          <w:color w:val="000000"/>
          <w:kern w:val="0"/>
          <w:sz w:val="32"/>
          <w:szCs w:val="32"/>
        </w:rPr>
      </w:pPr>
      <w:r>
        <w:rPr>
          <w:rFonts w:asciiTheme="minorEastAsia" w:hAnsiTheme="minorEastAsia" w:cs="黑体"/>
          <w:color w:val="000000"/>
          <w:kern w:val="0"/>
          <w:sz w:val="32"/>
          <w:szCs w:val="32"/>
        </w:rPr>
        <w:br w:type="page"/>
      </w:r>
    </w:p>
    <w:p w:rsidR="00BA7D56" w:rsidRDefault="00BA7D56">
      <w:pPr>
        <w:ind w:firstLineChars="200" w:firstLine="640"/>
        <w:rPr>
          <w:rFonts w:asciiTheme="minorEastAsia" w:hAnsiTheme="minorEastAsia" w:cs="黑体"/>
          <w:color w:val="000000"/>
          <w:kern w:val="0"/>
          <w:sz w:val="32"/>
          <w:szCs w:val="32"/>
        </w:rPr>
      </w:pPr>
    </w:p>
    <w:p w:rsidR="00BA7D56" w:rsidRDefault="00BA7D56">
      <w:pPr>
        <w:pStyle w:val="Default"/>
        <w:jc w:val="center"/>
        <w:rPr>
          <w:sz w:val="72"/>
          <w:szCs w:val="72"/>
        </w:rPr>
      </w:pPr>
    </w:p>
    <w:p w:rsidR="00BA7D56" w:rsidRDefault="00BA7D56">
      <w:pPr>
        <w:pStyle w:val="Default"/>
        <w:jc w:val="center"/>
        <w:rPr>
          <w:sz w:val="72"/>
          <w:szCs w:val="72"/>
        </w:rPr>
      </w:pPr>
    </w:p>
    <w:p w:rsidR="00BA7D56" w:rsidRDefault="00BA7D56">
      <w:pPr>
        <w:pStyle w:val="Default"/>
        <w:jc w:val="center"/>
        <w:rPr>
          <w:sz w:val="72"/>
          <w:szCs w:val="72"/>
        </w:rPr>
      </w:pPr>
    </w:p>
    <w:p w:rsidR="00BA7D56" w:rsidRDefault="00BA7D56">
      <w:pPr>
        <w:pStyle w:val="Default"/>
        <w:jc w:val="center"/>
        <w:rPr>
          <w:sz w:val="72"/>
          <w:szCs w:val="72"/>
        </w:rPr>
      </w:pPr>
    </w:p>
    <w:p w:rsidR="00BA7D56" w:rsidRDefault="00BA7D56">
      <w:pPr>
        <w:pStyle w:val="Default"/>
        <w:jc w:val="center"/>
        <w:rPr>
          <w:sz w:val="72"/>
          <w:szCs w:val="72"/>
        </w:rPr>
      </w:pPr>
    </w:p>
    <w:p w:rsidR="00BA7D56" w:rsidRDefault="00BA7D56">
      <w:pPr>
        <w:pStyle w:val="Default"/>
        <w:jc w:val="center"/>
        <w:rPr>
          <w:sz w:val="72"/>
          <w:szCs w:val="72"/>
        </w:rPr>
      </w:pPr>
    </w:p>
    <w:p w:rsidR="00BA7D56" w:rsidRDefault="0080757D">
      <w:pPr>
        <w:pStyle w:val="Default"/>
        <w:jc w:val="center"/>
        <w:rPr>
          <w:sz w:val="72"/>
          <w:szCs w:val="72"/>
        </w:rPr>
      </w:pPr>
      <w:r>
        <w:rPr>
          <w:rFonts w:hint="eastAsia"/>
          <w:sz w:val="72"/>
          <w:szCs w:val="72"/>
        </w:rPr>
        <w:t>第四部分</w:t>
      </w:r>
    </w:p>
    <w:p w:rsidR="00BA7D56" w:rsidRDefault="00BA7D56">
      <w:pPr>
        <w:jc w:val="center"/>
        <w:rPr>
          <w:rFonts w:ascii="黑体" w:eastAsia="黑体" w:cs="黑体"/>
          <w:color w:val="000000"/>
          <w:kern w:val="0"/>
          <w:sz w:val="70"/>
          <w:szCs w:val="70"/>
        </w:rPr>
      </w:pPr>
    </w:p>
    <w:p w:rsidR="00BA7D56" w:rsidRDefault="0080757D">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BA7D56" w:rsidRDefault="0080757D">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BA7D56" w:rsidRDefault="00BA7D56">
      <w:pPr>
        <w:ind w:firstLineChars="200" w:firstLine="640"/>
        <w:jc w:val="left"/>
        <w:rPr>
          <w:rFonts w:asciiTheme="minorEastAsia" w:hAnsiTheme="minorEastAsia" w:cs="黑体"/>
          <w:color w:val="000000"/>
          <w:kern w:val="0"/>
          <w:sz w:val="32"/>
          <w:szCs w:val="32"/>
        </w:rPr>
      </w:pPr>
    </w:p>
    <w:p w:rsidR="00BA7D56" w:rsidRDefault="0080757D">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BA7D56" w:rsidRDefault="0080757D">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proofErr w:type="gramStart"/>
      <w:r>
        <w:rPr>
          <w:rFonts w:eastAsia="仿宋_GB2312"/>
          <w:kern w:val="0"/>
          <w:sz w:val="32"/>
          <w:szCs w:val="32"/>
        </w:rPr>
        <w:t>“</w:t>
      </w:r>
      <w:proofErr w:type="gramEnd"/>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BA7D56" w:rsidRDefault="00BA7D56">
      <w:pPr>
        <w:widowControl/>
        <w:spacing w:line="600" w:lineRule="exact"/>
        <w:rPr>
          <w:rFonts w:ascii="Times New Roman" w:eastAsia="黑体" w:hAnsi="Times New Roman" w:cs="Times New Roman"/>
          <w:bCs/>
          <w:kern w:val="0"/>
          <w:sz w:val="32"/>
          <w:szCs w:val="32"/>
        </w:rPr>
      </w:pPr>
    </w:p>
    <w:p w:rsidR="00BA7D56" w:rsidRDefault="0080757D">
      <w:pPr>
        <w:widowControl/>
        <w:jc w:val="left"/>
        <w:rPr>
          <w:rFonts w:asciiTheme="minorEastAsia" w:hAnsiTheme="minorEastAsia"/>
          <w:i/>
          <w:color w:val="FF0000"/>
          <w:sz w:val="32"/>
          <w:szCs w:val="32"/>
        </w:rPr>
      </w:pPr>
      <w:r>
        <w:rPr>
          <w:rFonts w:asciiTheme="minorEastAsia" w:hAnsiTheme="minorEastAsia"/>
          <w:i/>
          <w:color w:val="FF0000"/>
          <w:sz w:val="32"/>
          <w:szCs w:val="32"/>
        </w:rPr>
        <w:br w:type="page"/>
      </w:r>
    </w:p>
    <w:p w:rsidR="00BA7D56" w:rsidRDefault="00BA7D56">
      <w:pPr>
        <w:pStyle w:val="Default"/>
        <w:jc w:val="center"/>
        <w:rPr>
          <w:sz w:val="72"/>
          <w:szCs w:val="72"/>
        </w:rPr>
      </w:pPr>
    </w:p>
    <w:p w:rsidR="00BA7D56" w:rsidRDefault="00BA7D56">
      <w:pPr>
        <w:pStyle w:val="Default"/>
        <w:jc w:val="center"/>
        <w:rPr>
          <w:sz w:val="72"/>
          <w:szCs w:val="72"/>
        </w:rPr>
      </w:pPr>
    </w:p>
    <w:p w:rsidR="00BA7D56" w:rsidRDefault="00BA7D56">
      <w:pPr>
        <w:pStyle w:val="Default"/>
        <w:jc w:val="center"/>
        <w:rPr>
          <w:sz w:val="72"/>
          <w:szCs w:val="72"/>
        </w:rPr>
      </w:pPr>
    </w:p>
    <w:p w:rsidR="00BA7D56" w:rsidRDefault="00BA7D56">
      <w:pPr>
        <w:pStyle w:val="Default"/>
        <w:jc w:val="center"/>
        <w:rPr>
          <w:sz w:val="72"/>
          <w:szCs w:val="72"/>
        </w:rPr>
      </w:pPr>
    </w:p>
    <w:p w:rsidR="00BA7D56" w:rsidRDefault="00BA7D56">
      <w:pPr>
        <w:pStyle w:val="Default"/>
        <w:jc w:val="center"/>
        <w:rPr>
          <w:sz w:val="72"/>
          <w:szCs w:val="72"/>
        </w:rPr>
      </w:pPr>
    </w:p>
    <w:p w:rsidR="00BA7D56" w:rsidRDefault="00BA7D56">
      <w:pPr>
        <w:pStyle w:val="Default"/>
        <w:jc w:val="center"/>
        <w:rPr>
          <w:sz w:val="72"/>
          <w:szCs w:val="72"/>
        </w:rPr>
      </w:pPr>
    </w:p>
    <w:p w:rsidR="00BA7D56" w:rsidRDefault="0080757D">
      <w:pPr>
        <w:pStyle w:val="Default"/>
        <w:jc w:val="center"/>
        <w:rPr>
          <w:sz w:val="72"/>
          <w:szCs w:val="72"/>
        </w:rPr>
      </w:pPr>
      <w:r>
        <w:rPr>
          <w:rFonts w:hint="eastAsia"/>
          <w:sz w:val="72"/>
          <w:szCs w:val="72"/>
        </w:rPr>
        <w:t>第五部分</w:t>
      </w:r>
    </w:p>
    <w:p w:rsidR="00BA7D56" w:rsidRDefault="00BA7D56">
      <w:pPr>
        <w:jc w:val="center"/>
        <w:rPr>
          <w:rFonts w:ascii="黑体" w:eastAsia="黑体" w:cs="黑体"/>
          <w:color w:val="000000"/>
          <w:kern w:val="0"/>
          <w:sz w:val="70"/>
          <w:szCs w:val="70"/>
        </w:rPr>
      </w:pPr>
    </w:p>
    <w:p w:rsidR="00BA7D56" w:rsidRDefault="0080757D">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BA7D56" w:rsidRDefault="0080757D">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BA7D56" w:rsidRDefault="00BA7D56">
      <w:pPr>
        <w:jc w:val="center"/>
        <w:rPr>
          <w:rFonts w:ascii="黑体" w:eastAsia="黑体" w:cs="黑体"/>
          <w:color w:val="000000"/>
          <w:kern w:val="0"/>
          <w:sz w:val="70"/>
          <w:szCs w:val="70"/>
        </w:rPr>
      </w:pPr>
    </w:p>
    <w:p w:rsidR="00BA7D56" w:rsidRDefault="0080757D" w:rsidP="00A747F2">
      <w:pPr>
        <w:ind w:firstLineChars="200" w:firstLine="883"/>
        <w:jc w:val="center"/>
        <w:rPr>
          <w:rFonts w:asciiTheme="minorEastAsia" w:hAnsiTheme="minorEastAsia" w:cs="黑体"/>
          <w:b/>
          <w:color w:val="000000"/>
          <w:kern w:val="0"/>
          <w:sz w:val="44"/>
          <w:szCs w:val="44"/>
        </w:rPr>
      </w:pPr>
      <w:r>
        <w:rPr>
          <w:rFonts w:asciiTheme="minorEastAsia" w:hAnsiTheme="minorEastAsia" w:cs="黑体" w:hint="eastAsia"/>
          <w:b/>
          <w:color w:val="000000"/>
          <w:kern w:val="0"/>
          <w:sz w:val="44"/>
          <w:szCs w:val="44"/>
        </w:rPr>
        <w:t>2019年度部门整体支出绩效评价报告</w:t>
      </w:r>
    </w:p>
    <w:p w:rsidR="00BA7D56" w:rsidRDefault="00BA7D56">
      <w:pPr>
        <w:ind w:firstLineChars="200" w:firstLine="880"/>
        <w:jc w:val="left"/>
        <w:rPr>
          <w:rFonts w:asciiTheme="minorEastAsia" w:hAnsiTheme="minorEastAsia" w:cs="黑体"/>
          <w:color w:val="000000"/>
          <w:kern w:val="0"/>
          <w:sz w:val="44"/>
          <w:szCs w:val="44"/>
        </w:rPr>
      </w:pPr>
    </w:p>
    <w:p w:rsidR="00BA7D56" w:rsidRDefault="0080757D" w:rsidP="00A747F2">
      <w:pPr>
        <w:ind w:firstLineChars="200" w:firstLine="643"/>
        <w:jc w:val="left"/>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一</w:t>
      </w:r>
      <w:r>
        <w:rPr>
          <w:rFonts w:asciiTheme="minorEastAsia" w:hAnsiTheme="minorEastAsia" w:cs="黑体"/>
          <w:b/>
          <w:color w:val="000000"/>
          <w:kern w:val="0"/>
          <w:sz w:val="32"/>
          <w:szCs w:val="32"/>
        </w:rPr>
        <w:t>、部门职能职责：</w:t>
      </w:r>
    </w:p>
    <w:p w:rsidR="00BA7D56" w:rsidRDefault="0080757D">
      <w:pPr>
        <w:ind w:firstLineChars="200" w:firstLine="640"/>
        <w:rPr>
          <w:rFonts w:asciiTheme="minorEastAsia" w:hAnsiTheme="minorEastAsia" w:cs="仿宋_GB2312"/>
          <w:sz w:val="32"/>
          <w:szCs w:val="32"/>
        </w:rPr>
      </w:pPr>
      <w:r>
        <w:rPr>
          <w:rFonts w:asciiTheme="minorEastAsia" w:hAnsiTheme="minorEastAsia" w:cs="仿宋_GB2312" w:hint="eastAsia"/>
          <w:bCs/>
          <w:kern w:val="0"/>
          <w:sz w:val="32"/>
          <w:szCs w:val="32"/>
        </w:rPr>
        <w:t>鹤城区农村经营服务站</w:t>
      </w:r>
      <w:r>
        <w:rPr>
          <w:rFonts w:asciiTheme="minorEastAsia" w:hAnsiTheme="minorEastAsia" w:cs="仿宋_GB2312" w:hint="eastAsia"/>
          <w:sz w:val="32"/>
          <w:szCs w:val="32"/>
        </w:rPr>
        <w:t>是全额拨款的参照公务员管理的事业单位，内设有4个职能股室：办公室、农村经营体制管理股、农村资产财务管理股、农民负担监督管理股。</w:t>
      </w:r>
    </w:p>
    <w:p w:rsidR="00BA7D56" w:rsidRDefault="0080757D">
      <w:pPr>
        <w:ind w:firstLineChars="200" w:firstLine="640"/>
        <w:jc w:val="left"/>
        <w:rPr>
          <w:rFonts w:asciiTheme="minorEastAsia" w:hAnsiTheme="minorEastAsia" w:cs="仿宋_GB2312"/>
          <w:sz w:val="32"/>
          <w:szCs w:val="32"/>
        </w:rPr>
      </w:pPr>
      <w:r>
        <w:rPr>
          <w:rFonts w:asciiTheme="minorEastAsia" w:hAnsiTheme="minorEastAsia" w:hint="eastAsia"/>
          <w:sz w:val="32"/>
          <w:szCs w:val="32"/>
        </w:rPr>
        <w:t>主要工作</w:t>
      </w:r>
      <w:r>
        <w:rPr>
          <w:rFonts w:asciiTheme="minorEastAsia" w:hAnsiTheme="minorEastAsia"/>
          <w:sz w:val="32"/>
          <w:szCs w:val="32"/>
        </w:rPr>
        <w:t>职责：</w:t>
      </w:r>
      <w:r>
        <w:rPr>
          <w:rFonts w:asciiTheme="minorEastAsia" w:hAnsiTheme="minorEastAsia" w:cs="仿宋_GB2312" w:hint="eastAsia"/>
          <w:sz w:val="32"/>
          <w:szCs w:val="32"/>
        </w:rPr>
        <w:t>研究提出稳定和完善家庭联产承包为主的双层经营体制的稳定与发展；指导全区农村土地承包、耕地使用权流转和承包合同管理等工作；指导全区乡村集体经济组织的建设、财务、会计、资产管理和审计工作；对农民负担费用提取、使用及农村“一事一议”情况进行监督管理，参与审核涉及农民负担的项目政策文件，查处涉及农民负担的重大事件；指导农村各类合作经济组织的建设和发展。负责农村有关经济和社会发展的指导体系的统计工作，组织对农村经济收支、农民收入情况的监测；承办区委、区政府交办的其他事项。</w:t>
      </w:r>
    </w:p>
    <w:p w:rsidR="00BA7D56" w:rsidRDefault="0080757D">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二、部门收支出情况</w:t>
      </w:r>
    </w:p>
    <w:p w:rsidR="00BA7D56" w:rsidRDefault="0080757D">
      <w:pPr>
        <w:ind w:firstLineChars="200" w:firstLine="640"/>
        <w:jc w:val="left"/>
        <w:rPr>
          <w:rFonts w:asciiTheme="minorEastAsia" w:hAnsiTheme="minorEastAsia"/>
          <w:sz w:val="32"/>
          <w:szCs w:val="32"/>
        </w:rPr>
      </w:pPr>
      <w:r>
        <w:rPr>
          <w:rFonts w:asciiTheme="minorEastAsia" w:hAnsiTheme="minorEastAsia" w:hint="eastAsia"/>
          <w:sz w:val="32"/>
          <w:szCs w:val="32"/>
        </w:rPr>
        <w:t>1、收入说明：2019 年总收入为 345.62万元。</w:t>
      </w:r>
    </w:p>
    <w:p w:rsidR="00BA7D56" w:rsidRDefault="0080757D">
      <w:pPr>
        <w:ind w:firstLineChars="200" w:firstLine="640"/>
        <w:jc w:val="left"/>
        <w:rPr>
          <w:rFonts w:asciiTheme="minorEastAsia" w:hAnsiTheme="minorEastAsia"/>
          <w:sz w:val="32"/>
          <w:szCs w:val="32"/>
        </w:rPr>
      </w:pPr>
      <w:r>
        <w:rPr>
          <w:rFonts w:asciiTheme="minorEastAsia" w:hAnsiTheme="minorEastAsia" w:hint="eastAsia"/>
          <w:sz w:val="32"/>
          <w:szCs w:val="32"/>
        </w:rPr>
        <w:t>2、支出说明：2019 年总支出为217.32万元，其中人员经费（类）支出74.65万元，;日常公用经费（类）支出142.67万元万元，。</w:t>
      </w:r>
    </w:p>
    <w:p w:rsidR="00BA7D56" w:rsidRDefault="00BA7D56">
      <w:pPr>
        <w:ind w:firstLineChars="200" w:firstLine="640"/>
        <w:rPr>
          <w:rFonts w:asciiTheme="minorEastAsia" w:hAnsiTheme="minorEastAsia" w:cs="仿宋_GB2312"/>
          <w:sz w:val="32"/>
          <w:szCs w:val="32"/>
        </w:rPr>
      </w:pPr>
    </w:p>
    <w:p w:rsidR="00BA7D56" w:rsidRDefault="00BA7D56">
      <w:pPr>
        <w:ind w:firstLineChars="200" w:firstLine="640"/>
        <w:jc w:val="left"/>
        <w:rPr>
          <w:rFonts w:asciiTheme="minorEastAsia" w:hAnsiTheme="minorEastAsia" w:cs="黑体"/>
          <w:color w:val="000000"/>
          <w:kern w:val="0"/>
          <w:sz w:val="32"/>
          <w:szCs w:val="32"/>
        </w:rPr>
      </w:pPr>
    </w:p>
    <w:sectPr w:rsidR="00BA7D56" w:rsidSect="00BA7D56">
      <w:pgSz w:w="11906" w:h="16838"/>
      <w:pgMar w:top="720" w:right="720" w:bottom="720" w:left="72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E00" w:rsidRDefault="00411E00" w:rsidP="00A747F2">
      <w:r>
        <w:separator/>
      </w:r>
    </w:p>
  </w:endnote>
  <w:endnote w:type="continuationSeparator" w:id="0">
    <w:p w:rsidR="00411E00" w:rsidRDefault="00411E00" w:rsidP="00A7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E00" w:rsidRDefault="00411E00" w:rsidP="00A747F2">
      <w:r>
        <w:separator/>
      </w:r>
    </w:p>
  </w:footnote>
  <w:footnote w:type="continuationSeparator" w:id="0">
    <w:p w:rsidR="00411E00" w:rsidRDefault="00411E00" w:rsidP="00A747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116A8"/>
    <w:rsid w:val="0002229B"/>
    <w:rsid w:val="000273BD"/>
    <w:rsid w:val="000415B7"/>
    <w:rsid w:val="000658A3"/>
    <w:rsid w:val="00073936"/>
    <w:rsid w:val="00074155"/>
    <w:rsid w:val="00075574"/>
    <w:rsid w:val="00076769"/>
    <w:rsid w:val="000A3F69"/>
    <w:rsid w:val="000C0AD5"/>
    <w:rsid w:val="00151620"/>
    <w:rsid w:val="00152C6D"/>
    <w:rsid w:val="00153CF2"/>
    <w:rsid w:val="001601D8"/>
    <w:rsid w:val="00162D39"/>
    <w:rsid w:val="001A67DB"/>
    <w:rsid w:val="001B4C13"/>
    <w:rsid w:val="001D2338"/>
    <w:rsid w:val="001D51E5"/>
    <w:rsid w:val="001E0CD3"/>
    <w:rsid w:val="001E7983"/>
    <w:rsid w:val="001F0C3B"/>
    <w:rsid w:val="00214427"/>
    <w:rsid w:val="00265724"/>
    <w:rsid w:val="0027426B"/>
    <w:rsid w:val="002C2BAC"/>
    <w:rsid w:val="002C314D"/>
    <w:rsid w:val="00314ACA"/>
    <w:rsid w:val="003479BD"/>
    <w:rsid w:val="00347C8F"/>
    <w:rsid w:val="003768D5"/>
    <w:rsid w:val="003C513E"/>
    <w:rsid w:val="003F141F"/>
    <w:rsid w:val="00411E00"/>
    <w:rsid w:val="0041428C"/>
    <w:rsid w:val="00435DC1"/>
    <w:rsid w:val="00436621"/>
    <w:rsid w:val="004506F9"/>
    <w:rsid w:val="004717A2"/>
    <w:rsid w:val="00472CC0"/>
    <w:rsid w:val="00491741"/>
    <w:rsid w:val="004C6C2A"/>
    <w:rsid w:val="004F7816"/>
    <w:rsid w:val="00500E5F"/>
    <w:rsid w:val="005122EF"/>
    <w:rsid w:val="00515F03"/>
    <w:rsid w:val="00517C33"/>
    <w:rsid w:val="005233EB"/>
    <w:rsid w:val="00523644"/>
    <w:rsid w:val="0052749D"/>
    <w:rsid w:val="0054069E"/>
    <w:rsid w:val="00554A5C"/>
    <w:rsid w:val="005767CC"/>
    <w:rsid w:val="00590D9F"/>
    <w:rsid w:val="00595D26"/>
    <w:rsid w:val="005A74E6"/>
    <w:rsid w:val="005C4CB6"/>
    <w:rsid w:val="005D4D55"/>
    <w:rsid w:val="005E1882"/>
    <w:rsid w:val="005E2CFB"/>
    <w:rsid w:val="005F5B6B"/>
    <w:rsid w:val="0062378F"/>
    <w:rsid w:val="00627592"/>
    <w:rsid w:val="00651EEC"/>
    <w:rsid w:val="00652413"/>
    <w:rsid w:val="00664FAA"/>
    <w:rsid w:val="006A351B"/>
    <w:rsid w:val="006B0422"/>
    <w:rsid w:val="006B5631"/>
    <w:rsid w:val="006C1B53"/>
    <w:rsid w:val="006C3E4C"/>
    <w:rsid w:val="006D7730"/>
    <w:rsid w:val="006D781B"/>
    <w:rsid w:val="006E5284"/>
    <w:rsid w:val="006F3EB5"/>
    <w:rsid w:val="00702E34"/>
    <w:rsid w:val="00704395"/>
    <w:rsid w:val="00720FF1"/>
    <w:rsid w:val="00787219"/>
    <w:rsid w:val="007C3485"/>
    <w:rsid w:val="00802A76"/>
    <w:rsid w:val="008072AA"/>
    <w:rsid w:val="0080757D"/>
    <w:rsid w:val="00812ED5"/>
    <w:rsid w:val="00813D0D"/>
    <w:rsid w:val="008277D9"/>
    <w:rsid w:val="00857066"/>
    <w:rsid w:val="0086240A"/>
    <w:rsid w:val="008633A4"/>
    <w:rsid w:val="00876373"/>
    <w:rsid w:val="0089357D"/>
    <w:rsid w:val="008A0A14"/>
    <w:rsid w:val="008A3E8D"/>
    <w:rsid w:val="009237C4"/>
    <w:rsid w:val="00923934"/>
    <w:rsid w:val="0093535F"/>
    <w:rsid w:val="00950252"/>
    <w:rsid w:val="00962265"/>
    <w:rsid w:val="0096548F"/>
    <w:rsid w:val="00967F5D"/>
    <w:rsid w:val="00987CD6"/>
    <w:rsid w:val="009A0F95"/>
    <w:rsid w:val="009B3ADF"/>
    <w:rsid w:val="009C0352"/>
    <w:rsid w:val="009C3B52"/>
    <w:rsid w:val="009C4ED3"/>
    <w:rsid w:val="00A42218"/>
    <w:rsid w:val="00A5054B"/>
    <w:rsid w:val="00A67190"/>
    <w:rsid w:val="00A70249"/>
    <w:rsid w:val="00A747F2"/>
    <w:rsid w:val="00A95DE5"/>
    <w:rsid w:val="00AB6B4F"/>
    <w:rsid w:val="00AD7E75"/>
    <w:rsid w:val="00AF4A1F"/>
    <w:rsid w:val="00B33BEA"/>
    <w:rsid w:val="00B57C9F"/>
    <w:rsid w:val="00B845B3"/>
    <w:rsid w:val="00B85D8B"/>
    <w:rsid w:val="00BA7D56"/>
    <w:rsid w:val="00BC7861"/>
    <w:rsid w:val="00BE3674"/>
    <w:rsid w:val="00C06428"/>
    <w:rsid w:val="00C23F1E"/>
    <w:rsid w:val="00C3049A"/>
    <w:rsid w:val="00C31B1E"/>
    <w:rsid w:val="00C40944"/>
    <w:rsid w:val="00C77645"/>
    <w:rsid w:val="00CA06B5"/>
    <w:rsid w:val="00CE04C3"/>
    <w:rsid w:val="00CE11A6"/>
    <w:rsid w:val="00CE6C06"/>
    <w:rsid w:val="00CE76A0"/>
    <w:rsid w:val="00D148C6"/>
    <w:rsid w:val="00D35EA5"/>
    <w:rsid w:val="00D37CCC"/>
    <w:rsid w:val="00D5103F"/>
    <w:rsid w:val="00D83285"/>
    <w:rsid w:val="00DA15DD"/>
    <w:rsid w:val="00DD06FF"/>
    <w:rsid w:val="00DD5FE9"/>
    <w:rsid w:val="00E00C7A"/>
    <w:rsid w:val="00E250C4"/>
    <w:rsid w:val="00E55B68"/>
    <w:rsid w:val="00EF044E"/>
    <w:rsid w:val="00F0371D"/>
    <w:rsid w:val="00F05CBB"/>
    <w:rsid w:val="00F073E8"/>
    <w:rsid w:val="00F10A8C"/>
    <w:rsid w:val="00F15719"/>
    <w:rsid w:val="00F349D2"/>
    <w:rsid w:val="00F51266"/>
    <w:rsid w:val="00F715F4"/>
    <w:rsid w:val="00F74360"/>
    <w:rsid w:val="00F76323"/>
    <w:rsid w:val="00FA2A73"/>
    <w:rsid w:val="00FA4E52"/>
    <w:rsid w:val="00FA67B3"/>
    <w:rsid w:val="00FB462F"/>
    <w:rsid w:val="00FE04CB"/>
    <w:rsid w:val="00FE16FA"/>
    <w:rsid w:val="00FE328A"/>
    <w:rsid w:val="29F834F0"/>
    <w:rsid w:val="2FC44740"/>
    <w:rsid w:val="685A0A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D5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A7D56"/>
    <w:rPr>
      <w:sz w:val="18"/>
      <w:szCs w:val="18"/>
    </w:rPr>
  </w:style>
  <w:style w:type="paragraph" w:styleId="a4">
    <w:name w:val="footer"/>
    <w:basedOn w:val="a"/>
    <w:link w:val="Char0"/>
    <w:uiPriority w:val="99"/>
    <w:unhideWhenUsed/>
    <w:rsid w:val="00BA7D56"/>
    <w:pPr>
      <w:tabs>
        <w:tab w:val="center" w:pos="4153"/>
        <w:tab w:val="right" w:pos="8306"/>
      </w:tabs>
      <w:snapToGrid w:val="0"/>
      <w:jc w:val="left"/>
    </w:pPr>
    <w:rPr>
      <w:sz w:val="18"/>
      <w:szCs w:val="18"/>
    </w:rPr>
  </w:style>
  <w:style w:type="paragraph" w:styleId="a5">
    <w:name w:val="header"/>
    <w:basedOn w:val="a"/>
    <w:link w:val="Char1"/>
    <w:uiPriority w:val="99"/>
    <w:unhideWhenUsed/>
    <w:rsid w:val="00BA7D5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BA7D56"/>
    <w:rPr>
      <w:sz w:val="18"/>
      <w:szCs w:val="18"/>
    </w:rPr>
  </w:style>
  <w:style w:type="character" w:customStyle="1" w:styleId="Char0">
    <w:name w:val="页脚 Char"/>
    <w:basedOn w:val="a0"/>
    <w:link w:val="a4"/>
    <w:uiPriority w:val="99"/>
    <w:rsid w:val="00BA7D56"/>
    <w:rPr>
      <w:sz w:val="18"/>
      <w:szCs w:val="18"/>
    </w:rPr>
  </w:style>
  <w:style w:type="paragraph" w:customStyle="1" w:styleId="Default">
    <w:name w:val="Default"/>
    <w:qFormat/>
    <w:rsid w:val="00BA7D56"/>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BA7D56"/>
    <w:pPr>
      <w:ind w:firstLineChars="200" w:firstLine="420"/>
    </w:pPr>
  </w:style>
  <w:style w:type="character" w:customStyle="1" w:styleId="Char">
    <w:name w:val="批注框文本 Char"/>
    <w:basedOn w:val="a0"/>
    <w:link w:val="a3"/>
    <w:uiPriority w:val="99"/>
    <w:semiHidden/>
    <w:rsid w:val="00BA7D5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BCC7BE-1B57-49FD-84E0-90D820659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739</Words>
  <Characters>4216</Characters>
  <Application>Microsoft Office Word</Application>
  <DocSecurity>0</DocSecurity>
  <Lines>35</Lines>
  <Paragraphs>9</Paragraphs>
  <ScaleCrop>false</ScaleCrop>
  <Company>Microsoft</Company>
  <LinksUpToDate>false</LinksUpToDate>
  <CharactersWithSpaces>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Lenovo</cp:lastModifiedBy>
  <cp:revision>12</cp:revision>
  <cp:lastPrinted>2020-07-15T07:25:00Z</cp:lastPrinted>
  <dcterms:created xsi:type="dcterms:W3CDTF">2021-06-03T06:55:00Z</dcterms:created>
  <dcterms:modified xsi:type="dcterms:W3CDTF">2021-06-08T09:05:00Z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CA77E383DCFB497C8EE0D28F7EA2B27E</vt:lpwstr>
  </property>
</Properties>
</file>