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2019年度</w:t>
      </w:r>
    </w:p>
    <w:p>
      <w:pPr>
        <w:pStyle w:val="9"/>
        <w:jc w:val="center"/>
        <w:rPr>
          <w:sz w:val="84"/>
          <w:szCs w:val="84"/>
        </w:rPr>
      </w:pPr>
      <w:r>
        <w:rPr>
          <w:rFonts w:hint="eastAsia"/>
          <w:sz w:val="84"/>
          <w:szCs w:val="84"/>
        </w:rPr>
        <w:t>区供销社部门决算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spacing w:line="540" w:lineRule="exact"/>
        <w:jc w:val="center"/>
        <w:rPr>
          <w:sz w:val="56"/>
          <w:szCs w:val="56"/>
        </w:rPr>
      </w:pPr>
    </w:p>
    <w:p>
      <w:pPr>
        <w:pStyle w:val="9"/>
        <w:spacing w:line="520" w:lineRule="exact"/>
        <w:jc w:val="center"/>
        <w:rPr>
          <w:sz w:val="56"/>
          <w:szCs w:val="56"/>
        </w:rPr>
      </w:pPr>
      <w:r>
        <w:rPr>
          <w:rFonts w:hint="eastAsia"/>
          <w:sz w:val="56"/>
          <w:szCs w:val="56"/>
        </w:rPr>
        <w:t>目录</w:t>
      </w:r>
    </w:p>
    <w:p>
      <w:pPr>
        <w:pStyle w:val="9"/>
        <w:spacing w:line="520" w:lineRule="exact"/>
        <w:rPr>
          <w:rFonts w:ascii="仿宋_GB2312" w:hAnsi="仿宋_GB2312" w:cs="仿宋_GB2312"/>
          <w:b/>
          <w:sz w:val="28"/>
          <w:szCs w:val="28"/>
        </w:rPr>
      </w:pPr>
      <w:r>
        <w:rPr>
          <w:rFonts w:hint="eastAsia"/>
          <w:b/>
          <w:sz w:val="28"/>
          <w:szCs w:val="28"/>
        </w:rPr>
        <w:t>第一部分区供销社概况</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2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2019</w:t>
      </w:r>
      <w:r>
        <w:rPr>
          <w:rFonts w:hint="eastAsia" w:hAnsi="仿宋_GB2312"/>
          <w:b/>
          <w:sz w:val="28"/>
          <w:szCs w:val="28"/>
        </w:rPr>
        <w:t>年度部门决算表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2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2019</w:t>
      </w:r>
      <w:r>
        <w:rPr>
          <w:rFonts w:hint="eastAsia" w:hAnsi="仿宋_GB2312"/>
          <w:b/>
          <w:sz w:val="28"/>
          <w:szCs w:val="28"/>
        </w:rPr>
        <w:t>年度部门决算情况说明</w:t>
      </w:r>
    </w:p>
    <w:p>
      <w:pPr>
        <w:pStyle w:val="9"/>
        <w:spacing w:line="52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2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、预算绩效情况说明</w:t>
      </w:r>
    </w:p>
    <w:p>
      <w:pPr>
        <w:autoSpaceDE w:val="0"/>
        <w:autoSpaceDN w:val="0"/>
        <w:adjustRightInd w:val="0"/>
        <w:spacing w:line="52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w:t>
      </w:r>
      <w:r>
        <w:rPr>
          <w:rFonts w:ascii="仿宋_GB2312" w:hAnsi="仿宋_GB2312" w:cs="仿宋_GB2312"/>
          <w:color w:val="000000"/>
          <w:kern w:val="0"/>
          <w:sz w:val="28"/>
          <w:szCs w:val="28"/>
        </w:rPr>
        <w:t>、其他重要事项情况说明</w:t>
      </w:r>
    </w:p>
    <w:p>
      <w:pPr>
        <w:autoSpaceDE w:val="0"/>
        <w:autoSpaceDN w:val="0"/>
        <w:adjustRightInd w:val="0"/>
        <w:spacing w:line="520" w:lineRule="exact"/>
        <w:jc w:val="left"/>
        <w:rPr>
          <w:rFonts w:ascii="黑体" w:hAnsi="黑体" w:eastAsia="黑体" w:cs="仿宋_GB2312"/>
          <w:b/>
          <w:color w:val="000000"/>
          <w:kern w:val="0"/>
          <w:sz w:val="28"/>
          <w:szCs w:val="28"/>
        </w:rPr>
      </w:pPr>
      <w:r>
        <w:rPr>
          <w:rFonts w:ascii="黑体" w:hAnsi="黑体" w:eastAsia="黑体" w:cs="黑体"/>
          <w:b/>
          <w:color w:val="000000"/>
          <w:kern w:val="0"/>
          <w:sz w:val="28"/>
          <w:szCs w:val="28"/>
        </w:rPr>
        <w:t>第四部分名词解释</w:t>
      </w:r>
    </w:p>
    <w:p>
      <w:pPr>
        <w:spacing w:line="520" w:lineRule="exact"/>
        <w:jc w:val="left"/>
        <w:rPr>
          <w:rFonts w:ascii="黑体" w:hAnsi="黑体" w:eastAsia="黑体" w:cs="仿宋_GB2312"/>
          <w:b/>
          <w:color w:val="000000"/>
          <w:kern w:val="0"/>
          <w:sz w:val="28"/>
          <w:szCs w:val="28"/>
        </w:rPr>
      </w:pPr>
      <w:r>
        <w:rPr>
          <w:rFonts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r>
        <w:rPr>
          <w:sz w:val="84"/>
          <w:szCs w:val="84"/>
        </w:rPr>
        <w:t xml:space="preserve"> </w:t>
      </w:r>
    </w:p>
    <w:p>
      <w:pPr>
        <w:pStyle w:val="9"/>
        <w:jc w:val="center"/>
        <w:rPr>
          <w:sz w:val="84"/>
          <w:szCs w:val="84"/>
        </w:rPr>
      </w:pPr>
    </w:p>
    <w:p>
      <w:pPr>
        <w:pStyle w:val="9"/>
        <w:jc w:val="center"/>
        <w:rPr>
          <w:sz w:val="84"/>
          <w:szCs w:val="84"/>
        </w:rPr>
      </w:pPr>
      <w:r>
        <w:rPr>
          <w:rFonts w:hint="eastAsia"/>
          <w:sz w:val="84"/>
          <w:szCs w:val="84"/>
        </w:rPr>
        <w:t>区供销社单位概况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left="640"/>
        <w:jc w:val="left"/>
        <w:rPr>
          <w:rFonts w:ascii="宋体" w:hAnsi="宋体" w:eastAsia="宋体" w:cs="宋体"/>
          <w:sz w:val="32"/>
          <w:szCs w:val="32"/>
        </w:rPr>
      </w:pPr>
      <w:r>
        <w:rPr>
          <w:rFonts w:hint="eastAsia" w:ascii="宋体" w:hAnsi="宋体" w:eastAsia="宋体" w:cs="宋体"/>
          <w:sz w:val="32"/>
          <w:szCs w:val="32"/>
        </w:rPr>
        <w:t>（1）贯彻执行国家、省、市有关农村经济工作的方针、政策、法规。</w:t>
      </w:r>
    </w:p>
    <w:p>
      <w:pPr>
        <w:ind w:left="640"/>
        <w:jc w:val="left"/>
        <w:rPr>
          <w:rFonts w:ascii="宋体" w:hAnsi="宋体" w:eastAsia="宋体" w:cs="宋体"/>
          <w:sz w:val="32"/>
          <w:szCs w:val="32"/>
        </w:rPr>
      </w:pPr>
      <w:r>
        <w:rPr>
          <w:rFonts w:hint="eastAsia" w:ascii="宋体" w:hAnsi="宋体" w:eastAsia="宋体" w:cs="宋体"/>
          <w:sz w:val="32"/>
          <w:szCs w:val="32"/>
        </w:rPr>
        <w:t>（2）制定全区供销合作联合社的发展战略和中长期发展规划、体制改革方案；知道全区供销合作社的改革和发展，组织区供销联合社所属单位具体实施。</w:t>
      </w:r>
    </w:p>
    <w:p>
      <w:pPr>
        <w:ind w:left="640"/>
        <w:jc w:val="left"/>
        <w:rPr>
          <w:rFonts w:ascii="宋体" w:hAnsi="宋体" w:eastAsia="宋体" w:cs="宋体"/>
          <w:sz w:val="32"/>
          <w:szCs w:val="32"/>
        </w:rPr>
      </w:pPr>
      <w:r>
        <w:rPr>
          <w:rFonts w:hint="eastAsia" w:ascii="宋体" w:hAnsi="宋体" w:eastAsia="宋体" w:cs="宋体"/>
          <w:sz w:val="32"/>
          <w:szCs w:val="32"/>
        </w:rPr>
        <w:t>（3）根据区人民政府授权，知道全区有关农业生产资料和农副产品政策性业务经营工作。</w:t>
      </w:r>
    </w:p>
    <w:p>
      <w:pPr>
        <w:ind w:left="640"/>
        <w:jc w:val="left"/>
        <w:rPr>
          <w:rFonts w:ascii="宋体" w:hAnsi="宋体" w:eastAsia="宋体" w:cs="宋体"/>
          <w:sz w:val="32"/>
          <w:szCs w:val="32"/>
        </w:rPr>
      </w:pPr>
      <w:r>
        <w:rPr>
          <w:rFonts w:hint="eastAsia" w:ascii="宋体" w:hAnsi="宋体" w:eastAsia="宋体" w:cs="宋体"/>
          <w:sz w:val="32"/>
          <w:szCs w:val="32"/>
        </w:rPr>
        <w:t>（4）指导各级供销社开拓农村市场，推动全区供销社组织农民进入市场。发展农业产业化经营，为农业、农村和农民提供综合服务，建立和完善本系统为农业生产和农村经济发展服务的体系；预测预报相关的市场信息。</w:t>
      </w:r>
    </w:p>
    <w:p>
      <w:pPr>
        <w:ind w:left="640"/>
        <w:jc w:val="left"/>
        <w:rPr>
          <w:rFonts w:ascii="宋体" w:hAnsi="宋体" w:eastAsia="宋体" w:cs="宋体"/>
          <w:sz w:val="32"/>
          <w:szCs w:val="32"/>
        </w:rPr>
      </w:pPr>
      <w:r>
        <w:rPr>
          <w:rFonts w:hint="eastAsia" w:ascii="宋体" w:hAnsi="宋体" w:eastAsia="宋体" w:cs="宋体"/>
          <w:sz w:val="32"/>
          <w:szCs w:val="32"/>
        </w:rPr>
        <w:t>（5）指导和监督供销系统的资产管理，依法维护供销社的合法权益。</w:t>
      </w:r>
    </w:p>
    <w:p>
      <w:pPr>
        <w:ind w:left="640"/>
        <w:jc w:val="left"/>
        <w:rPr>
          <w:rFonts w:ascii="宋体" w:hAnsi="宋体" w:eastAsia="宋体" w:cs="宋体"/>
          <w:sz w:val="32"/>
          <w:szCs w:val="32"/>
        </w:rPr>
      </w:pPr>
      <w:r>
        <w:rPr>
          <w:rFonts w:hint="eastAsia" w:ascii="宋体" w:hAnsi="宋体" w:eastAsia="宋体" w:cs="宋体"/>
          <w:sz w:val="32"/>
          <w:szCs w:val="32"/>
        </w:rPr>
        <w:t>（6）指导供销社系统的科技开发和推广应用工作，推进科教兴社。</w:t>
      </w:r>
    </w:p>
    <w:p>
      <w:pPr>
        <w:ind w:left="640"/>
        <w:jc w:val="left"/>
        <w:rPr>
          <w:rFonts w:ascii="宋体" w:hAnsi="宋体" w:eastAsia="宋体" w:cs="宋体"/>
          <w:sz w:val="32"/>
          <w:szCs w:val="32"/>
        </w:rPr>
      </w:pPr>
      <w:r>
        <w:rPr>
          <w:rFonts w:hint="eastAsia" w:ascii="宋体" w:hAnsi="宋体" w:eastAsia="宋体" w:cs="宋体"/>
          <w:sz w:val="32"/>
          <w:szCs w:val="32"/>
        </w:rPr>
        <w:t>（7）研究指定区供销合作社直属单位人事、财务、资产的管理制度，并组织实施，确保社有资产的保值增值。</w:t>
      </w:r>
    </w:p>
    <w:p>
      <w:pPr>
        <w:ind w:left="640"/>
        <w:jc w:val="left"/>
        <w:rPr>
          <w:rFonts w:ascii="宋体" w:hAnsi="宋体" w:eastAsia="宋体" w:cs="宋体"/>
          <w:sz w:val="32"/>
          <w:szCs w:val="32"/>
        </w:rPr>
      </w:pPr>
      <w:r>
        <w:rPr>
          <w:rFonts w:hint="eastAsia" w:ascii="宋体" w:hAnsi="宋体" w:eastAsia="宋体" w:cs="宋体"/>
          <w:sz w:val="32"/>
          <w:szCs w:val="32"/>
        </w:rPr>
        <w:t>（8）指导供销系统组织建设、队伍建设和干部、职工教育培训工作。</w:t>
      </w:r>
    </w:p>
    <w:p>
      <w:pPr>
        <w:ind w:left="640"/>
        <w:jc w:val="left"/>
        <w:rPr>
          <w:rFonts w:ascii="宋体" w:hAnsi="宋体" w:eastAsia="宋体" w:cs="宋体"/>
          <w:sz w:val="32"/>
          <w:szCs w:val="32"/>
        </w:rPr>
      </w:pPr>
      <w:r>
        <w:rPr>
          <w:rFonts w:hint="eastAsia" w:ascii="宋体" w:hAnsi="宋体" w:eastAsia="宋体" w:cs="宋体"/>
          <w:sz w:val="32"/>
          <w:szCs w:val="32"/>
        </w:rPr>
        <w:t xml:space="preserve">（9）承办区委、区人民政府和上级供销合作社交办的其他事项。                  </w:t>
      </w:r>
    </w:p>
    <w:p>
      <w:pPr>
        <w:ind w:left="640"/>
        <w:jc w:val="left"/>
        <w:rPr>
          <w:rFonts w:ascii="宋体" w:hAnsi="宋体" w:eastAsia="宋体" w:cs="宋体"/>
          <w:sz w:val="32"/>
          <w:szCs w:val="32"/>
        </w:rPr>
      </w:pPr>
      <w:r>
        <w:rPr>
          <w:rFonts w:hint="eastAsia" w:ascii="宋体" w:hAnsi="宋体" w:eastAsia="宋体" w:cs="宋体"/>
          <w:sz w:val="32"/>
          <w:szCs w:val="32"/>
        </w:rPr>
        <w:t xml:space="preserve">（10）承办区委、区人民政府和上级供销合作社交办的其他事项。 </w:t>
      </w:r>
    </w:p>
    <w:p>
      <w:pPr>
        <w:jc w:val="left"/>
        <w:rPr>
          <w:rFonts w:ascii="仿宋_GB2312" w:eastAsia="仿宋_GB2312" w:hAnsiTheme="minorEastAsia"/>
          <w:sz w:val="28"/>
          <w:szCs w:val="32"/>
        </w:rPr>
      </w:pP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ind w:firstLine="640" w:firstLineChars="200"/>
        <w:jc w:val="left"/>
        <w:rPr>
          <w:rFonts w:ascii="宋体" w:hAnsi="宋体" w:eastAsia="宋体" w:cs="宋体"/>
          <w:sz w:val="32"/>
          <w:szCs w:val="32"/>
        </w:rPr>
      </w:pPr>
      <w:r>
        <w:rPr>
          <w:rFonts w:hint="eastAsia" w:ascii="宋体" w:hAnsi="宋体" w:eastAsia="宋体" w:cs="宋体"/>
          <w:bCs/>
          <w:kern w:val="0"/>
          <w:sz w:val="32"/>
          <w:szCs w:val="32"/>
        </w:rPr>
        <w:t>（一）内设机构设置。鹤城区供销社内设机构包括：</w:t>
      </w:r>
      <w:r>
        <w:rPr>
          <w:rFonts w:hint="eastAsia" w:ascii="宋体" w:hAnsi="宋体" w:eastAsia="宋体" w:cs="宋体"/>
          <w:sz w:val="32"/>
          <w:szCs w:val="32"/>
        </w:rPr>
        <w:t>办公室、人事教育股、财计基建股、经贸发展股、监督审计股。</w:t>
      </w:r>
    </w:p>
    <w:p>
      <w:pPr>
        <w:widowControl/>
        <w:spacing w:line="60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（二）决算单位构成。鹤城区供销社</w:t>
      </w:r>
      <w:r>
        <w:rPr>
          <w:rFonts w:asciiTheme="minorEastAsia" w:hAnsiTheme="minorEastAsia"/>
          <w:bCs/>
          <w:kern w:val="0"/>
          <w:sz w:val="32"/>
          <w:szCs w:val="32"/>
        </w:rPr>
        <w:t>2019</w:t>
      </w:r>
      <w:r>
        <w:rPr>
          <w:rFonts w:hint="eastAsia" w:asciiTheme="minorEastAsia" w:hAnsiTheme="minorEastAsia"/>
          <w:bCs/>
          <w:kern w:val="0"/>
          <w:sz w:val="32"/>
          <w:szCs w:val="32"/>
        </w:rPr>
        <w:t>年部门决算汇总公开单位构成包括：鹤城区供销社本级.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部门决算表（详见附表）</w:t>
      </w:r>
    </w:p>
    <w:p>
      <w:pPr>
        <w:jc w:val="center"/>
        <w:rPr>
          <w:sz w:val="72"/>
          <w:szCs w:val="72"/>
        </w:rPr>
      </w:pPr>
    </w:p>
    <w:p>
      <w:pPr>
        <w:pStyle w:val="9"/>
        <w:rPr>
          <w:sz w:val="72"/>
          <w:szCs w:val="72"/>
        </w:rPr>
        <w:sectPr>
          <w:pgSz w:w="16838" w:h="11906" w:orient="landscape"/>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2019</w:t>
      </w:r>
      <w:r>
        <w:rPr>
          <w:rFonts w:hint="eastAsia"/>
          <w:sz w:val="70"/>
          <w:szCs w:val="70"/>
        </w:rPr>
        <w:t>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numPr>
          <w:ilvl w:val="0"/>
          <w:numId w:val="2"/>
        </w:numPr>
        <w:rPr>
          <w:rFonts w:hAnsi="黑体"/>
          <w:b/>
          <w:sz w:val="32"/>
          <w:szCs w:val="32"/>
        </w:rPr>
      </w:pPr>
      <w:r>
        <w:rPr>
          <w:rFonts w:hint="eastAsia" w:hAnsi="黑体"/>
          <w:b/>
          <w:sz w:val="32"/>
          <w:szCs w:val="32"/>
        </w:rPr>
        <w:t>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2019 年度收入总计</w:t>
      </w:r>
      <w:r>
        <w:rPr>
          <w:rFonts w:hint="eastAsia" w:asciiTheme="minorEastAsia" w:hAnsiTheme="minorEastAsia" w:eastAsiaTheme="minorEastAsia"/>
          <w:sz w:val="32"/>
          <w:szCs w:val="32"/>
          <w:lang w:val="en-US" w:eastAsia="zh-CN"/>
        </w:rPr>
        <w:t>225.2</w:t>
      </w:r>
      <w:r>
        <w:rPr>
          <w:rFonts w:hint="eastAsia" w:asciiTheme="minorEastAsia" w:hAnsiTheme="minorEastAsia" w:eastAsiaTheme="minorEastAsia"/>
          <w:sz w:val="32"/>
          <w:szCs w:val="32"/>
        </w:rPr>
        <w:t>万元。与2018年相比，增加</w:t>
      </w:r>
      <w:r>
        <w:rPr>
          <w:rFonts w:hint="eastAsia" w:asciiTheme="minorEastAsia" w:hAnsiTheme="minorEastAsia" w:eastAsiaTheme="minorEastAsia"/>
          <w:sz w:val="32"/>
          <w:szCs w:val="32"/>
          <w:lang w:val="en-US" w:eastAsia="zh-CN"/>
        </w:rPr>
        <w:t>49.9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%，主要是因为工资福利支出增加了;2019年度支出总计232.92万元, 与2018年相比，</w:t>
      </w:r>
      <w:r>
        <w:rPr>
          <w:rFonts w:hint="eastAsia" w:asciiTheme="minorEastAsia" w:hAnsiTheme="minorEastAsia" w:eastAsiaTheme="minorEastAsia"/>
          <w:sz w:val="32"/>
          <w:szCs w:val="32"/>
          <w:lang w:eastAsia="zh-CN"/>
        </w:rPr>
        <w:t>增加了</w:t>
      </w:r>
      <w:r>
        <w:rPr>
          <w:rFonts w:hint="eastAsia" w:asciiTheme="minorEastAsia" w:hAnsiTheme="minorEastAsia" w:eastAsiaTheme="minorEastAsia"/>
          <w:sz w:val="32"/>
          <w:szCs w:val="32"/>
          <w:lang w:val="en-US" w:eastAsia="zh-CN"/>
        </w:rPr>
        <w:t>10.9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%，主要是因为工资福利支出增加了。</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225.2</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225.2</w:t>
      </w:r>
      <w:r>
        <w:rPr>
          <w:rFonts w:hint="eastAsia" w:asciiTheme="minorEastAsia" w:hAnsiTheme="minorEastAsia" w:eastAsiaTheme="minorEastAsia"/>
          <w:sz w:val="32"/>
          <w:szCs w:val="32"/>
        </w:rPr>
        <w:t>万元，占100%。上级补助收入0万元，占0%；事业收入0万元，占0%；经营收入0万元，占0%；附属单位上缴收入0万元，占0%；其他收入0万元，占0%。</w:t>
      </w:r>
    </w:p>
    <w:p>
      <w:pPr>
        <w:pStyle w:val="9"/>
        <w:ind w:firstLine="640" w:firstLineChars="20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本年支出合计232.9万元，其中：基本支出184.9万元，占79%；项目支出48万元，占21%，上缴上级支出0万元，占0%；经营支出0万元，占0%；对附属单位补助支出0万元，占0%。</w:t>
      </w:r>
    </w:p>
    <w:p>
      <w:pPr>
        <w:pStyle w:val="9"/>
        <w:ind w:firstLine="640" w:firstLineChars="20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2019 年度收入总计</w:t>
      </w:r>
      <w:r>
        <w:rPr>
          <w:rFonts w:hint="eastAsia" w:asciiTheme="minorEastAsia" w:hAnsiTheme="minorEastAsia" w:eastAsiaTheme="minorEastAsia"/>
          <w:sz w:val="32"/>
          <w:szCs w:val="32"/>
          <w:lang w:val="en-US" w:eastAsia="zh-CN"/>
        </w:rPr>
        <w:t>225.2</w:t>
      </w:r>
      <w:r>
        <w:rPr>
          <w:rFonts w:hint="eastAsia" w:asciiTheme="minorEastAsia" w:hAnsiTheme="minorEastAsia" w:eastAsiaTheme="minorEastAsia"/>
          <w:sz w:val="32"/>
          <w:szCs w:val="32"/>
        </w:rPr>
        <w:t>万元。与2018年相比，增加</w:t>
      </w:r>
      <w:r>
        <w:rPr>
          <w:rFonts w:hint="eastAsia" w:asciiTheme="minorEastAsia" w:hAnsiTheme="minorEastAsia" w:eastAsiaTheme="minorEastAsia"/>
          <w:sz w:val="32"/>
          <w:szCs w:val="32"/>
          <w:lang w:val="en-US" w:eastAsia="zh-CN"/>
        </w:rPr>
        <w:t>49.9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%，主要是因为工资福利支出增加了;2019年度支出总计232.92万元, 与2018年相比，</w:t>
      </w:r>
      <w:r>
        <w:rPr>
          <w:rFonts w:hint="eastAsia" w:asciiTheme="minorEastAsia" w:hAnsiTheme="minorEastAsia" w:eastAsiaTheme="minorEastAsia"/>
          <w:sz w:val="32"/>
          <w:szCs w:val="32"/>
          <w:lang w:eastAsia="zh-CN"/>
        </w:rPr>
        <w:t>增加了</w:t>
      </w:r>
      <w:r>
        <w:rPr>
          <w:rFonts w:hint="eastAsia" w:asciiTheme="minorEastAsia" w:hAnsiTheme="minorEastAsia" w:eastAsiaTheme="minorEastAsia"/>
          <w:sz w:val="32"/>
          <w:szCs w:val="32"/>
          <w:lang w:val="en-US" w:eastAsia="zh-CN"/>
        </w:rPr>
        <w:t>10.9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%，主要是因为工资福利支出增加了。</w:t>
      </w:r>
    </w:p>
    <w:p>
      <w:pPr>
        <w:pStyle w:val="9"/>
        <w:rPr>
          <w:rFonts w:hAnsi="黑体"/>
          <w:b/>
          <w:sz w:val="32"/>
          <w:szCs w:val="32"/>
        </w:rPr>
      </w:pP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2019年度财政拨款支出232.9万元，占本年支出合计的100%，与2018年相比，财政拨款支出增加</w:t>
      </w:r>
      <w:r>
        <w:rPr>
          <w:rFonts w:hint="eastAsia" w:asciiTheme="minorEastAsia" w:hAnsiTheme="minorEastAsia" w:eastAsiaTheme="minorEastAsia"/>
          <w:sz w:val="32"/>
          <w:szCs w:val="32"/>
          <w:lang w:val="en-US" w:eastAsia="zh-CN"/>
        </w:rPr>
        <w:t>10.9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%，主要是因为工资福利支出增加了。</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2019年度财政拨款支出232.9万元，主要用于以下方面：社会保障和就业支出208（类）支出12.7万元，占5.5%；卫生健康支出210（类）支出4.8万元，占2%;城乡社区支出212（类）支出1.3万元,占0.5%；商业服务业等支出216（类）支出207万元,占89%；住房保障支出221（类）支出7.1万元,占3%。</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2019年度财政拨款支出年初预算数为407.4万元，支出决算数为232.9万元，完成年初预算的57%，其中：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1、归口管理的行政单位离退休208（类）05（款）01（项），事业单位离退休208（类）05（款）02（项），机关事业单位基本养老保险缴费支出208（类）05（款）05（项），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年初预算为468.2万元，支出决算为12.7万元，完成年初预算的2.7%，决算数小于年初预算数的主要原因是：归口管理的行政单位离退休和事业单位离退休决算按要求没做进去.</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2、卫生健康支出210（类）11（款）02（项）。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年初预算为4.8万元，支出决算为4.8万元，完成年初预算100%。</w:t>
      </w:r>
    </w:p>
    <w:p>
      <w:pPr>
        <w:pStyle w:val="9"/>
        <w:numPr>
          <w:ilvl w:val="0"/>
          <w:numId w:val="3"/>
        </w:numPr>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城乡社区支出212（类）99（款）01（项）。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年初预算为0万元，支出决算为1.3万元，完成年初预算的0%，决算数小于年初预算数的主要原因是：城乡社区支出是上年结余数，所以年初没做预算。</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4、行政运行216（类）02（款）01（项），一般行政管理事务216（类）02（款）02（项），其他商业流通事务支出216（类）02（款）99（项）。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年初预算为348.7万元，支出决算为207万元，完成年初预算的59%，决算数小于年初预算数的主要原因是：项目资金使用减少。</w:t>
      </w:r>
    </w:p>
    <w:p>
      <w:pPr>
        <w:pStyle w:val="9"/>
        <w:ind w:left="525" w:leftChars="250"/>
        <w:rPr>
          <w:rFonts w:asciiTheme="minorEastAsia" w:hAnsiTheme="minorEastAsia" w:eastAsiaTheme="minorEastAsia"/>
          <w:sz w:val="32"/>
          <w:szCs w:val="32"/>
        </w:rPr>
      </w:pPr>
      <w:r>
        <w:rPr>
          <w:rFonts w:hint="eastAsia" w:asciiTheme="minorEastAsia" w:hAnsiTheme="minorEastAsia" w:eastAsiaTheme="minorEastAsia"/>
          <w:sz w:val="32"/>
          <w:szCs w:val="32"/>
        </w:rPr>
        <w:t>5、住房保障支出221（类）02（款）01（项）。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年初预算为7.1万元，支出决算为7.1万元，完成年初预算的100%。</w:t>
      </w:r>
    </w:p>
    <w:p>
      <w:pPr>
        <w:pStyle w:val="9"/>
        <w:ind w:left="525" w:leftChars="25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2019年度财政拨款基本支出184.9万元，其中：人员经费180.9万元，占基本支出的97.9%,主要包括基本工资、津贴补贴、奖金、伙食补助费、生活补助；公用经费4万元，占基本支出的2.1%，主要包括办公费、印刷费、水电费、维修费、公务接待费、工会经费、邮电费。</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3.55</w:t>
      </w:r>
      <w:r>
        <w:rPr>
          <w:rFonts w:hint="eastAsia" w:asciiTheme="minorEastAsia" w:hAnsiTheme="minorEastAsia" w:eastAsiaTheme="minorEastAsia"/>
          <w:sz w:val="32"/>
          <w:szCs w:val="32"/>
        </w:rPr>
        <w:t>万元，支出决算为0.21万元，完成预算的</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因公出国（境）费支出预算为0万元，支出决算为0万元，完成预算的0%，无因公出国费用支出。</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3.55</w:t>
      </w:r>
      <w:r>
        <w:rPr>
          <w:rFonts w:hint="eastAsia" w:asciiTheme="minorEastAsia" w:hAnsiTheme="minorEastAsia" w:eastAsiaTheme="minorEastAsia"/>
          <w:sz w:val="32"/>
          <w:szCs w:val="32"/>
        </w:rPr>
        <w:t>万元，支出决算为0.21万元，完成预算的26%，决算数小于年初预算数的主要原因是</w:t>
      </w:r>
      <w:r>
        <w:rPr>
          <w:rFonts w:hint="eastAsia" w:ascii="仿宋_GB2312" w:hAnsi="仿宋_GB2312" w:eastAsia="仿宋_GB2312" w:cs="仿宋_GB2312"/>
          <w:sz w:val="32"/>
          <w:szCs w:val="32"/>
        </w:rPr>
        <w:t>根据</w:t>
      </w:r>
      <w:r>
        <w:rPr>
          <w:rFonts w:hint="eastAsia" w:ascii="宋体" w:hAnsi="宋体" w:eastAsia="宋体" w:cs="宋体"/>
          <w:sz w:val="32"/>
          <w:szCs w:val="32"/>
        </w:rPr>
        <w:t>《中央八项规定》及《党政机关厉行节约反对浪费条例》要求厉行节约，</w:t>
      </w:r>
      <w:r>
        <w:rPr>
          <w:rFonts w:hint="eastAsia" w:asciiTheme="minorEastAsia" w:hAnsiTheme="minorEastAsia" w:eastAsiaTheme="minorEastAsia"/>
          <w:sz w:val="32"/>
          <w:szCs w:val="32"/>
        </w:rPr>
        <w:t>与上年相比减少0.0</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万元，减少1</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.5%,减少的主要原因是</w:t>
      </w:r>
      <w:r>
        <w:rPr>
          <w:rFonts w:hint="eastAsia" w:ascii="宋体" w:hAnsi="宋体" w:eastAsia="宋体" w:cs="宋体"/>
          <w:sz w:val="32"/>
          <w:szCs w:val="32"/>
        </w:rPr>
        <w:t>厉行节约</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公务用车购置费及运行维护费支出预算为0万元，支出决算为0万元，完成预算的0%，无公务用车购置费及运行维护费支出。</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2019年度“三公”经费财政拨款支出决算中，公务接待费支出决算0.21万元，占26%,因公出国（境）费支出决算0万元，占0%,公务用车购置费及运行维护费支出决算0万元，占0%。其中：</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1、因公出国（境）费支出决算为0万元，全年安排因公出国（境）团组0个，累计0人次,开支内容包括：</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支出0万元，无因公出国（境）费支出</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2、公务接待费支出决算为0.21万元，全年共接待来访团组</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20</w:t>
      </w:r>
      <w:bookmarkStart w:id="0" w:name="_GoBack"/>
      <w:bookmarkEnd w:id="0"/>
      <w:r>
        <w:rPr>
          <w:rFonts w:hint="eastAsia" w:asciiTheme="minorEastAsia" w:hAnsiTheme="minorEastAsia" w:eastAsiaTheme="minorEastAsia"/>
          <w:sz w:val="32"/>
          <w:szCs w:val="32"/>
        </w:rPr>
        <w:t>人次，主要是相互学习供销深化改革发生的接待支出。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3、公务用车购置费及运行维护费支出决算为0万元，其中：公务用车购置费0万元，区供销社（单位本级或某二级机构）更新公务用车0辆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公务用车运行维护费0万元，无公务用车，截止2019年12月31日，我单位开支财政拨款的公务用车保有量为0辆。</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2019年度政府性基金预算财政拨款收入0万元；年初结转和结余0万元；支出0万元，其中基本支出0万元，项目支出0万元；年末结转和结余0万元。</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本单位无政府性基金。</w:t>
      </w:r>
    </w:p>
    <w:p>
      <w:pPr>
        <w:pStyle w:val="9"/>
        <w:rPr>
          <w:rFonts w:hAnsi="黑体"/>
          <w:b/>
          <w:sz w:val="32"/>
          <w:szCs w:val="32"/>
        </w:rPr>
      </w:pPr>
      <w:r>
        <w:rPr>
          <w:rFonts w:hint="eastAsia" w:hAnsi="黑体"/>
          <w:b/>
          <w:sz w:val="32"/>
          <w:szCs w:val="32"/>
        </w:rPr>
        <w:t>九、关于2019年度预算绩效情况说明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本部门预算绩效管理开展情况、绩效目标和绩效评价报告附后。</w:t>
      </w:r>
    </w:p>
    <w:p>
      <w:pPr>
        <w:pStyle w:val="9"/>
        <w:rPr>
          <w:rFonts w:hAnsi="黑体"/>
          <w:b/>
          <w:sz w:val="32"/>
          <w:szCs w:val="32"/>
        </w:rPr>
      </w:pPr>
      <w:r>
        <w:rPr>
          <w:rFonts w:hint="eastAsia" w:hAnsi="黑体"/>
          <w:b/>
          <w:sz w:val="32"/>
          <w:szCs w:val="32"/>
        </w:rPr>
        <w:t>十、其他重要事项情况说明</w:t>
      </w:r>
    </w:p>
    <w:p>
      <w:pPr>
        <w:ind w:firstLine="480" w:firstLineChars="150"/>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（一）机关运行经费支出情况</w:t>
      </w:r>
    </w:p>
    <w:p>
      <w:pPr>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本部门2019 年度机关运行经费支出4万元，比年初预算数减少21.8万元，降低18%。主要原因是：公用经费减少。</w:t>
      </w:r>
    </w:p>
    <w:p>
      <w:pPr>
        <w:ind w:firstLine="640" w:firstLineChars="200"/>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（二）一般性支出情况</w:t>
      </w:r>
    </w:p>
    <w:p>
      <w:pPr>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2019年本部门开支会议费0万元，无召开会议，人数0人，开支培训费0万元，人数0人，节庆、晚会、论坛、赛事活动，开支0万元，（注：三类会议、培训活动，节庆、晚会、论坛、赛事等活动，请分项列明活动计划及经费预算情况）</w:t>
      </w:r>
    </w:p>
    <w:p>
      <w:pPr>
        <w:ind w:firstLine="640" w:firstLineChars="200"/>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（三）政府采购支出情况</w:t>
      </w:r>
    </w:p>
    <w:p>
      <w:pPr>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本部门2019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pPr>
        <w:ind w:firstLine="640" w:firstLineChars="200"/>
        <w:rPr>
          <w:rFonts w:cs="黑体" w:asciiTheme="minorEastAsia" w:hAnsiTheme="minorEastAsia"/>
          <w:i/>
          <w:color w:val="FF0000"/>
          <w:kern w:val="0"/>
          <w:sz w:val="32"/>
          <w:szCs w:val="32"/>
        </w:rPr>
      </w:pPr>
      <w:r>
        <w:rPr>
          <w:rFonts w:hint="eastAsia" w:cs="黑体" w:asciiTheme="minorEastAsia" w:hAnsiTheme="minorEastAsia"/>
          <w:color w:val="000000"/>
          <w:kern w:val="0"/>
          <w:sz w:val="32"/>
          <w:szCs w:val="32"/>
        </w:rPr>
        <w:t>本单位无政府采购</w:t>
      </w:r>
    </w:p>
    <w:p>
      <w:pPr>
        <w:ind w:firstLine="480" w:firstLineChars="150"/>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（四）国有资产占用情况</w:t>
      </w:r>
    </w:p>
    <w:p>
      <w:pPr>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截至2019年12月31日，本单位共有车辆0辆，其中，领导干部用车0辆、机要通信用车0辆、应急保障用车0辆、执法执勤用车0辆、特种专业技术用车0辆、其他用车0辆，无公务用车；单位价值50万元以上通用设备0台（套）；单位价值100万元以上专用设备0台（套）。</w:t>
      </w:r>
    </w:p>
    <w:p>
      <w:pPr>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本单位无国有资产占用。</w:t>
      </w:r>
    </w:p>
    <w:p>
      <w:pPr>
        <w:widowControl/>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br w:type="page"/>
      </w:r>
    </w:p>
    <w:p>
      <w:pPr>
        <w:ind w:firstLine="640" w:firstLineChars="200"/>
        <w:rPr>
          <w:rFonts w:cs="黑体" w:asciiTheme="minorEastAsia" w:hAnsiTheme="minorEastAsia"/>
          <w:color w:val="000000"/>
          <w:kern w:val="0"/>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spacing w:line="600" w:lineRule="exact"/>
        <w:rPr>
          <w:rFonts w:ascii="Times New Roman" w:hAnsi="Times New Roman" w:eastAsia="黑体" w:cs="Times New Roman"/>
          <w:bCs/>
          <w:kern w:val="0"/>
          <w:sz w:val="32"/>
          <w:szCs w:val="32"/>
        </w:rPr>
      </w:pPr>
    </w:p>
    <w:p>
      <w:pPr>
        <w:widowControl/>
        <w:jc w:val="left"/>
        <w:rPr>
          <w:rFonts w:asciiTheme="minorEastAsia" w:hAnsiTheme="minorEastAsia"/>
          <w:i/>
          <w:color w:val="FF0000"/>
          <w:sz w:val="32"/>
          <w:szCs w:val="32"/>
        </w:rPr>
      </w:pPr>
      <w:r>
        <w:rPr>
          <w:rFonts w:asciiTheme="minorEastAsia" w:hAnsiTheme="minorEastAsia"/>
          <w:i/>
          <w:color w:val="FF0000"/>
          <w:sz w:val="32"/>
          <w:szCs w:val="32"/>
        </w:rPr>
        <w:br w:type="page"/>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2019年度部门整体支出绩效评价报告</w:t>
      </w:r>
    </w:p>
    <w:p>
      <w:pPr>
        <w:numPr>
          <w:ilvl w:val="0"/>
          <w:numId w:val="4"/>
        </w:numPr>
        <w:ind w:firstLine="640" w:firstLineChars="200"/>
        <w:jc w:val="left"/>
        <w:rPr>
          <w:rFonts w:cs="宋体" w:asciiTheme="minorEastAsia" w:hAnsiTheme="minorEastAsia"/>
          <w:b/>
          <w:sz w:val="32"/>
          <w:szCs w:val="32"/>
        </w:rPr>
      </w:pPr>
      <w:r>
        <w:rPr>
          <w:rFonts w:hint="eastAsia" w:cs="宋体" w:asciiTheme="minorEastAsia" w:hAnsiTheme="minorEastAsia"/>
          <w:b/>
          <w:sz w:val="32"/>
          <w:szCs w:val="32"/>
        </w:rPr>
        <w:t>部门职能职责</w:t>
      </w:r>
    </w:p>
    <w:p>
      <w:pPr>
        <w:ind w:firstLine="640" w:firstLineChars="200"/>
        <w:jc w:val="left"/>
        <w:rPr>
          <w:rFonts w:ascii="宋体" w:hAnsi="宋体" w:eastAsia="宋体" w:cs="宋体"/>
          <w:sz w:val="32"/>
          <w:szCs w:val="32"/>
        </w:rPr>
      </w:pPr>
      <w:r>
        <w:rPr>
          <w:rFonts w:hint="eastAsia" w:ascii="宋体" w:hAnsi="宋体" w:eastAsia="宋体" w:cs="宋体"/>
          <w:bCs/>
          <w:kern w:val="0"/>
          <w:sz w:val="32"/>
          <w:szCs w:val="32"/>
        </w:rPr>
        <w:t>1、内设机构设置。鹤城区供销社内设机构包括：</w:t>
      </w:r>
      <w:r>
        <w:rPr>
          <w:rFonts w:hint="eastAsia" w:ascii="宋体" w:hAnsi="宋体" w:eastAsia="宋体" w:cs="宋体"/>
          <w:sz w:val="32"/>
          <w:szCs w:val="32"/>
        </w:rPr>
        <w:t>办公室、人事教育股、财计基建股、经贸发展股、监督审计股。</w:t>
      </w:r>
    </w:p>
    <w:p>
      <w:pPr>
        <w:ind w:firstLine="320" w:firstLineChars="100"/>
        <w:jc w:val="left"/>
        <w:rPr>
          <w:rFonts w:ascii="宋体" w:hAnsi="宋体" w:eastAsia="宋体" w:cs="宋体"/>
          <w:sz w:val="32"/>
          <w:szCs w:val="32"/>
        </w:rPr>
      </w:pPr>
      <w:r>
        <w:rPr>
          <w:rFonts w:hint="eastAsia" w:cs="宋体" w:asciiTheme="minorEastAsia" w:hAnsiTheme="minorEastAsia"/>
          <w:b/>
          <w:sz w:val="32"/>
          <w:szCs w:val="32"/>
        </w:rPr>
        <w:t xml:space="preserve"> 2、</w:t>
      </w:r>
      <w:r>
        <w:rPr>
          <w:rFonts w:hint="eastAsia" w:cs="宋体" w:asciiTheme="minorEastAsia" w:hAnsiTheme="minorEastAsia"/>
          <w:sz w:val="32"/>
          <w:szCs w:val="32"/>
        </w:rPr>
        <w:t>主要工作职责：</w:t>
      </w:r>
      <w:r>
        <w:rPr>
          <w:rFonts w:hint="eastAsia" w:ascii="宋体" w:hAnsi="宋体" w:eastAsia="宋体" w:cs="宋体"/>
          <w:sz w:val="32"/>
          <w:szCs w:val="32"/>
        </w:rPr>
        <w:t>（1）贯彻执行国家、省、市有关农村经济工作的方针、政策、法规。</w:t>
      </w:r>
    </w:p>
    <w:p>
      <w:pPr>
        <w:ind w:firstLine="320" w:firstLineChars="100"/>
        <w:jc w:val="left"/>
        <w:rPr>
          <w:rFonts w:ascii="宋体" w:hAnsi="宋体" w:eastAsia="宋体" w:cs="宋体"/>
          <w:sz w:val="32"/>
          <w:szCs w:val="32"/>
        </w:rPr>
      </w:pPr>
      <w:r>
        <w:rPr>
          <w:rFonts w:hint="eastAsia" w:ascii="宋体" w:hAnsi="宋体" w:eastAsia="宋体" w:cs="宋体"/>
          <w:sz w:val="32"/>
          <w:szCs w:val="32"/>
        </w:rPr>
        <w:t>（2）制定全区供销合作联合社的发展战略和中长期发展规划、体制改革方案；知道全区供销合作社的改革和发展，组织区供销联合社所属单位具体实施。</w:t>
      </w:r>
    </w:p>
    <w:p>
      <w:pPr>
        <w:ind w:firstLine="320" w:firstLineChars="100"/>
        <w:jc w:val="left"/>
        <w:rPr>
          <w:rFonts w:ascii="宋体" w:hAnsi="宋体" w:eastAsia="宋体" w:cs="宋体"/>
          <w:sz w:val="32"/>
          <w:szCs w:val="32"/>
        </w:rPr>
      </w:pPr>
      <w:r>
        <w:rPr>
          <w:rFonts w:hint="eastAsia" w:ascii="宋体" w:hAnsi="宋体" w:eastAsia="宋体" w:cs="宋体"/>
          <w:sz w:val="32"/>
          <w:szCs w:val="32"/>
        </w:rPr>
        <w:t>（3）根据区人民政府授权，知道全区有关农业生产资料和农副产品政策性业务经营工作。</w:t>
      </w:r>
    </w:p>
    <w:p>
      <w:pPr>
        <w:ind w:firstLine="320" w:firstLineChars="100"/>
        <w:jc w:val="left"/>
        <w:rPr>
          <w:rFonts w:ascii="宋体" w:hAnsi="宋体" w:eastAsia="宋体" w:cs="宋体"/>
          <w:sz w:val="32"/>
          <w:szCs w:val="32"/>
        </w:rPr>
      </w:pPr>
      <w:r>
        <w:rPr>
          <w:rFonts w:hint="eastAsia" w:ascii="宋体" w:hAnsi="宋体" w:eastAsia="宋体" w:cs="宋体"/>
          <w:sz w:val="32"/>
          <w:szCs w:val="32"/>
        </w:rPr>
        <w:t>（4）指导各级供销社开拓农村市场，推动全区供销社组织农民进入市场。发展农业产业化经营，为农业、农村和农民提供综合服务，建立和完善本系统为农业生产和农村经济发展服务的体系；预测预报相关的市场信息。</w:t>
      </w:r>
    </w:p>
    <w:p>
      <w:pPr>
        <w:ind w:firstLine="320" w:firstLineChars="100"/>
        <w:jc w:val="left"/>
        <w:rPr>
          <w:rFonts w:ascii="宋体" w:hAnsi="宋体" w:eastAsia="宋体" w:cs="宋体"/>
          <w:sz w:val="32"/>
          <w:szCs w:val="32"/>
        </w:rPr>
      </w:pPr>
      <w:r>
        <w:rPr>
          <w:rFonts w:hint="eastAsia" w:ascii="宋体" w:hAnsi="宋体" w:eastAsia="宋体" w:cs="宋体"/>
          <w:sz w:val="32"/>
          <w:szCs w:val="32"/>
        </w:rPr>
        <w:t>（5）指导和监督供销系统的资产管理，依法维护供销社的合法权益。</w:t>
      </w:r>
    </w:p>
    <w:p>
      <w:pPr>
        <w:ind w:firstLine="320" w:firstLineChars="100"/>
        <w:jc w:val="left"/>
        <w:rPr>
          <w:rFonts w:ascii="宋体" w:hAnsi="宋体" w:eastAsia="宋体" w:cs="宋体"/>
          <w:sz w:val="32"/>
          <w:szCs w:val="32"/>
        </w:rPr>
      </w:pPr>
      <w:r>
        <w:rPr>
          <w:rFonts w:hint="eastAsia" w:ascii="宋体" w:hAnsi="宋体" w:eastAsia="宋体" w:cs="宋体"/>
          <w:sz w:val="32"/>
          <w:szCs w:val="32"/>
        </w:rPr>
        <w:t>（6）指导供销社系统的科技开发和推广应用工作，推进科教兴社。</w:t>
      </w:r>
    </w:p>
    <w:p>
      <w:pPr>
        <w:ind w:firstLine="320" w:firstLineChars="100"/>
        <w:jc w:val="left"/>
        <w:rPr>
          <w:rFonts w:ascii="宋体" w:hAnsi="宋体" w:eastAsia="宋体" w:cs="宋体"/>
          <w:sz w:val="32"/>
          <w:szCs w:val="32"/>
        </w:rPr>
      </w:pPr>
      <w:r>
        <w:rPr>
          <w:rFonts w:hint="eastAsia" w:ascii="宋体" w:hAnsi="宋体" w:eastAsia="宋体" w:cs="宋体"/>
          <w:sz w:val="32"/>
          <w:szCs w:val="32"/>
        </w:rPr>
        <w:t>（7）研究指定区供销合作社直属单位人事、财务、资产的管理制度，并组织实施，确保社有资产的保值增值。</w:t>
      </w:r>
    </w:p>
    <w:p>
      <w:pPr>
        <w:ind w:firstLine="320" w:firstLineChars="100"/>
        <w:jc w:val="left"/>
        <w:rPr>
          <w:rFonts w:ascii="宋体" w:hAnsi="宋体" w:eastAsia="宋体" w:cs="宋体"/>
          <w:sz w:val="32"/>
          <w:szCs w:val="32"/>
        </w:rPr>
      </w:pPr>
      <w:r>
        <w:rPr>
          <w:rFonts w:hint="eastAsia" w:ascii="宋体" w:hAnsi="宋体" w:eastAsia="宋体" w:cs="宋体"/>
          <w:sz w:val="32"/>
          <w:szCs w:val="32"/>
        </w:rPr>
        <w:t>（8）指导供销系统组织建设、队伍建设和干部、职工教育培训工作。</w:t>
      </w:r>
    </w:p>
    <w:p>
      <w:pPr>
        <w:ind w:firstLine="320" w:firstLineChars="100"/>
        <w:jc w:val="left"/>
        <w:rPr>
          <w:rFonts w:ascii="宋体" w:hAnsi="宋体" w:eastAsia="宋体" w:cs="宋体"/>
          <w:sz w:val="32"/>
          <w:szCs w:val="32"/>
        </w:rPr>
      </w:pPr>
      <w:r>
        <w:rPr>
          <w:rFonts w:hint="eastAsia" w:ascii="宋体" w:hAnsi="宋体" w:eastAsia="宋体" w:cs="宋体"/>
          <w:sz w:val="32"/>
          <w:szCs w:val="32"/>
        </w:rPr>
        <w:t xml:space="preserve">（9）承办区委、区人民政府和上级供销合作社交办的其他事项。                  </w:t>
      </w:r>
    </w:p>
    <w:p>
      <w:pPr>
        <w:ind w:firstLine="320" w:firstLineChars="100"/>
        <w:jc w:val="left"/>
        <w:rPr>
          <w:rFonts w:ascii="宋体" w:hAnsi="宋体" w:eastAsia="宋体" w:cs="宋体"/>
          <w:sz w:val="32"/>
          <w:szCs w:val="32"/>
        </w:rPr>
      </w:pPr>
      <w:r>
        <w:rPr>
          <w:rFonts w:hint="eastAsia" w:ascii="宋体" w:hAnsi="宋体" w:eastAsia="宋体" w:cs="宋体"/>
          <w:sz w:val="32"/>
          <w:szCs w:val="32"/>
        </w:rPr>
        <w:t xml:space="preserve">（10）承办区委、区人民政府和上级供销合作社交办的其他事项。 </w:t>
      </w:r>
    </w:p>
    <w:p>
      <w:pPr>
        <w:spacing w:line="180" w:lineRule="auto"/>
        <w:ind w:left="300" w:firstLine="560" w:firstLineChars="200"/>
        <w:rPr>
          <w:rFonts w:ascii="宋体" w:hAnsi="宋体"/>
          <w:sz w:val="28"/>
          <w:szCs w:val="28"/>
        </w:rPr>
      </w:pPr>
      <w:r>
        <w:rPr>
          <w:rFonts w:hint="eastAsia" w:ascii="宋体" w:hAnsi="宋体"/>
          <w:sz w:val="28"/>
          <w:szCs w:val="28"/>
        </w:rPr>
        <w:t>二、预算执行情况</w:t>
      </w:r>
    </w:p>
    <w:p>
      <w:pPr>
        <w:spacing w:line="180" w:lineRule="auto"/>
        <w:ind w:left="300" w:firstLine="560" w:firstLineChars="200"/>
        <w:rPr>
          <w:rFonts w:ascii="宋体" w:hAnsi="宋体"/>
          <w:sz w:val="28"/>
          <w:szCs w:val="28"/>
        </w:rPr>
      </w:pPr>
      <w:r>
        <w:rPr>
          <w:rFonts w:hint="eastAsia" w:ascii="宋体" w:hAnsi="宋体"/>
          <w:sz w:val="28"/>
          <w:szCs w:val="28"/>
        </w:rPr>
        <w:t>1、收人预算说明：2019年预算总收入</w:t>
      </w:r>
      <w:r>
        <w:rPr>
          <w:rFonts w:hint="eastAsia" w:asciiTheme="minorEastAsia" w:hAnsiTheme="minorEastAsia"/>
          <w:sz w:val="32"/>
          <w:szCs w:val="32"/>
        </w:rPr>
        <w:t>232.9万元，其中：财政拨款收入232.9万元，</w:t>
      </w:r>
      <w:r>
        <w:rPr>
          <w:rFonts w:hint="eastAsia" w:ascii="宋体" w:hAnsi="宋体"/>
          <w:sz w:val="28"/>
          <w:szCs w:val="28"/>
        </w:rPr>
        <w:t>。</w:t>
      </w:r>
    </w:p>
    <w:p>
      <w:pPr>
        <w:spacing w:line="180" w:lineRule="auto"/>
        <w:ind w:left="300" w:firstLine="560" w:firstLineChars="200"/>
        <w:rPr>
          <w:rFonts w:ascii="宋体" w:hAnsi="宋体"/>
          <w:sz w:val="28"/>
          <w:szCs w:val="28"/>
        </w:rPr>
      </w:pPr>
      <w:r>
        <w:rPr>
          <w:rFonts w:hint="eastAsia" w:ascii="宋体" w:hAnsi="宋体"/>
          <w:sz w:val="28"/>
          <w:szCs w:val="28"/>
        </w:rPr>
        <w:t>2、支出预算说明：2019年预算总支出232.9万元，其中：人员支出180.9万元；公用支出4万元；项目支出48万元。</w:t>
      </w:r>
    </w:p>
    <w:p>
      <w:pPr>
        <w:spacing w:line="180" w:lineRule="auto"/>
        <w:ind w:left="300"/>
        <w:rPr>
          <w:rFonts w:ascii="宋体" w:hAnsi="宋体"/>
          <w:sz w:val="28"/>
          <w:szCs w:val="28"/>
        </w:rPr>
      </w:pPr>
      <w:r>
        <w:rPr>
          <w:rFonts w:hint="eastAsia" w:ascii="宋体" w:hAnsi="宋体"/>
          <w:sz w:val="28"/>
          <w:szCs w:val="28"/>
        </w:rPr>
        <w:t>四、存在的主要问题及改进措施和建议</w:t>
      </w:r>
    </w:p>
    <w:p>
      <w:pPr>
        <w:spacing w:line="180" w:lineRule="auto"/>
        <w:ind w:left="300"/>
        <w:rPr>
          <w:rFonts w:ascii="宋体" w:hAnsi="宋体"/>
          <w:sz w:val="28"/>
          <w:szCs w:val="28"/>
        </w:rPr>
      </w:pPr>
      <w:r>
        <w:rPr>
          <w:rFonts w:hint="eastAsia" w:ascii="宋体" w:hAnsi="宋体"/>
          <w:sz w:val="28"/>
          <w:szCs w:val="28"/>
        </w:rPr>
        <w:t>（一）主要问题</w:t>
      </w:r>
    </w:p>
    <w:p>
      <w:pPr>
        <w:spacing w:line="180" w:lineRule="auto"/>
        <w:ind w:left="300"/>
        <w:rPr>
          <w:rFonts w:ascii="宋体" w:hAnsi="宋体"/>
          <w:sz w:val="28"/>
          <w:szCs w:val="28"/>
        </w:rPr>
      </w:pPr>
      <w:r>
        <w:rPr>
          <w:rFonts w:hint="eastAsia" w:ascii="宋体" w:hAnsi="宋体"/>
          <w:sz w:val="28"/>
          <w:szCs w:val="28"/>
        </w:rPr>
        <w:t>1、认识不到位。</w:t>
      </w:r>
    </w:p>
    <w:p>
      <w:pPr>
        <w:spacing w:line="180" w:lineRule="auto"/>
        <w:ind w:left="300"/>
        <w:rPr>
          <w:rFonts w:ascii="宋体" w:hAnsi="宋体"/>
          <w:sz w:val="28"/>
          <w:szCs w:val="28"/>
        </w:rPr>
      </w:pPr>
      <w:r>
        <w:rPr>
          <w:rFonts w:hint="eastAsia" w:ascii="宋体" w:hAnsi="宋体"/>
          <w:sz w:val="28"/>
          <w:szCs w:val="28"/>
        </w:rPr>
        <w:t>2、会计人员的业务水平欠熟练。</w:t>
      </w:r>
    </w:p>
    <w:p>
      <w:pPr>
        <w:spacing w:line="180" w:lineRule="auto"/>
        <w:ind w:left="300"/>
        <w:rPr>
          <w:rFonts w:ascii="宋体" w:hAnsi="宋体"/>
          <w:sz w:val="28"/>
          <w:szCs w:val="28"/>
        </w:rPr>
      </w:pPr>
      <w:r>
        <w:rPr>
          <w:rFonts w:hint="eastAsia" w:ascii="宋体" w:hAnsi="宋体"/>
          <w:sz w:val="28"/>
          <w:szCs w:val="28"/>
        </w:rPr>
        <w:t>（二）建议</w:t>
      </w:r>
    </w:p>
    <w:p>
      <w:pPr>
        <w:spacing w:line="180" w:lineRule="auto"/>
        <w:ind w:left="300" w:firstLine="560" w:firstLineChars="200"/>
        <w:rPr>
          <w:rFonts w:ascii="宋体" w:hAnsi="宋体"/>
          <w:sz w:val="28"/>
          <w:szCs w:val="28"/>
        </w:rPr>
      </w:pPr>
      <w:r>
        <w:rPr>
          <w:rFonts w:hint="eastAsia" w:ascii="宋体" w:hAnsi="宋体"/>
          <w:sz w:val="28"/>
          <w:szCs w:val="28"/>
        </w:rPr>
        <w:t>1、提高认识，强化绩效管理理念，执行编制有标准、支付有约束、履行职责与预算挂钩的预算管理模式。健全例行节约，反对浪费的长效机制。进一步优化支出结构，优先保障民计民生支出，促进民生持续改善。</w:t>
      </w:r>
    </w:p>
    <w:p>
      <w:pPr>
        <w:spacing w:line="180" w:lineRule="auto"/>
        <w:ind w:left="300"/>
        <w:rPr>
          <w:rFonts w:ascii="宋体" w:hAnsi="宋体"/>
          <w:sz w:val="28"/>
          <w:szCs w:val="28"/>
        </w:rPr>
      </w:pPr>
      <w:r>
        <w:rPr>
          <w:rFonts w:hint="eastAsia" w:ascii="宋体" w:hAnsi="宋体"/>
          <w:sz w:val="28"/>
          <w:szCs w:val="28"/>
        </w:rPr>
        <w:t>2、不断提高业务水平，认真领悟文件精神，确保绩效评价结果的公正、客观、准确。</w:t>
      </w:r>
    </w:p>
    <w:p>
      <w:pPr>
        <w:spacing w:line="180" w:lineRule="auto"/>
        <w:ind w:left="300"/>
        <w:rPr>
          <w:rFonts w:ascii="宋体" w:hAnsi="宋体"/>
          <w:sz w:val="28"/>
          <w:szCs w:val="28"/>
        </w:rPr>
      </w:pPr>
      <w:r>
        <w:rPr>
          <w:rFonts w:hint="eastAsia" w:ascii="宋体" w:hAnsi="宋体"/>
          <w:sz w:val="28"/>
          <w:szCs w:val="28"/>
        </w:rPr>
        <w:t xml:space="preserve">                             </w:t>
      </w:r>
    </w:p>
    <w:p>
      <w:pPr>
        <w:ind w:firstLine="320" w:firstLineChars="100"/>
        <w:jc w:val="left"/>
        <w:rPr>
          <w:rFonts w:cs="宋体" w:asciiTheme="minorEastAsia" w:hAnsiTheme="minorEastAsia"/>
          <w:b/>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93FA4"/>
    <w:multiLevelType w:val="singleLevel"/>
    <w:tmpl w:val="B0793FA4"/>
    <w:lvl w:ilvl="0" w:tentative="0">
      <w:start w:val="1"/>
      <w:numFmt w:val="chineseCounting"/>
      <w:suff w:val="nothing"/>
      <w:lvlText w:val="%1、"/>
      <w:lvlJc w:val="left"/>
      <w:rPr>
        <w:rFonts w:hint="eastAsia"/>
      </w:rPr>
    </w:lvl>
  </w:abstractNum>
  <w:abstractNum w:abstractNumId="1">
    <w:nsid w:val="D6FBBE88"/>
    <w:multiLevelType w:val="singleLevel"/>
    <w:tmpl w:val="D6FBBE88"/>
    <w:lvl w:ilvl="0" w:tentative="0">
      <w:start w:val="3"/>
      <w:numFmt w:val="decimal"/>
      <w:suff w:val="nothing"/>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A9434F"/>
    <w:multiLevelType w:val="multilevel"/>
    <w:tmpl w:val="41A9434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425A3"/>
    <w:rsid w:val="000658A3"/>
    <w:rsid w:val="00074155"/>
    <w:rsid w:val="000A3F69"/>
    <w:rsid w:val="00152C6D"/>
    <w:rsid w:val="00162D39"/>
    <w:rsid w:val="00195774"/>
    <w:rsid w:val="001A67DB"/>
    <w:rsid w:val="001D51E5"/>
    <w:rsid w:val="001E0CD3"/>
    <w:rsid w:val="001F0C3B"/>
    <w:rsid w:val="001F3DE9"/>
    <w:rsid w:val="00214427"/>
    <w:rsid w:val="00265724"/>
    <w:rsid w:val="0027426B"/>
    <w:rsid w:val="002966AB"/>
    <w:rsid w:val="003479BD"/>
    <w:rsid w:val="00370E2E"/>
    <w:rsid w:val="003768D5"/>
    <w:rsid w:val="0039344D"/>
    <w:rsid w:val="003A4EE6"/>
    <w:rsid w:val="00424A66"/>
    <w:rsid w:val="004506F9"/>
    <w:rsid w:val="004717A2"/>
    <w:rsid w:val="00491741"/>
    <w:rsid w:val="00500E5F"/>
    <w:rsid w:val="005122EF"/>
    <w:rsid w:val="00517C33"/>
    <w:rsid w:val="00523644"/>
    <w:rsid w:val="0054069E"/>
    <w:rsid w:val="0054259E"/>
    <w:rsid w:val="005767CC"/>
    <w:rsid w:val="00590D9F"/>
    <w:rsid w:val="00595D26"/>
    <w:rsid w:val="005A74E6"/>
    <w:rsid w:val="005D4D55"/>
    <w:rsid w:val="005E2CFB"/>
    <w:rsid w:val="00600494"/>
    <w:rsid w:val="0062378F"/>
    <w:rsid w:val="00651EEC"/>
    <w:rsid w:val="00652413"/>
    <w:rsid w:val="00674656"/>
    <w:rsid w:val="0069393F"/>
    <w:rsid w:val="006A351B"/>
    <w:rsid w:val="006B0422"/>
    <w:rsid w:val="006C1B53"/>
    <w:rsid w:val="006D7730"/>
    <w:rsid w:val="006E5284"/>
    <w:rsid w:val="006F3EB5"/>
    <w:rsid w:val="00702E34"/>
    <w:rsid w:val="00704395"/>
    <w:rsid w:val="00720FF1"/>
    <w:rsid w:val="00773E4D"/>
    <w:rsid w:val="00812ED5"/>
    <w:rsid w:val="008277D9"/>
    <w:rsid w:val="008A3E8D"/>
    <w:rsid w:val="009237C4"/>
    <w:rsid w:val="00950252"/>
    <w:rsid w:val="00967F5D"/>
    <w:rsid w:val="009755EE"/>
    <w:rsid w:val="009A0F95"/>
    <w:rsid w:val="009B3ADF"/>
    <w:rsid w:val="009C3B52"/>
    <w:rsid w:val="00A42218"/>
    <w:rsid w:val="00A70249"/>
    <w:rsid w:val="00AB31D2"/>
    <w:rsid w:val="00AB508A"/>
    <w:rsid w:val="00AE55A3"/>
    <w:rsid w:val="00B33BEA"/>
    <w:rsid w:val="00B57C9F"/>
    <w:rsid w:val="00B845B3"/>
    <w:rsid w:val="00B85D8B"/>
    <w:rsid w:val="00BC7861"/>
    <w:rsid w:val="00BE3674"/>
    <w:rsid w:val="00C3049A"/>
    <w:rsid w:val="00C31B1E"/>
    <w:rsid w:val="00C77645"/>
    <w:rsid w:val="00CE04C3"/>
    <w:rsid w:val="00CE76A0"/>
    <w:rsid w:val="00D148C6"/>
    <w:rsid w:val="00D97CA2"/>
    <w:rsid w:val="00DD06FF"/>
    <w:rsid w:val="00DD5FE9"/>
    <w:rsid w:val="00E00C7A"/>
    <w:rsid w:val="00E55B68"/>
    <w:rsid w:val="00F74360"/>
    <w:rsid w:val="00FB3FCF"/>
    <w:rsid w:val="00FB462F"/>
    <w:rsid w:val="00FE16FA"/>
    <w:rsid w:val="00FE328A"/>
    <w:rsid w:val="01AF3338"/>
    <w:rsid w:val="04AD5F4A"/>
    <w:rsid w:val="05097E5E"/>
    <w:rsid w:val="051340D1"/>
    <w:rsid w:val="09E74839"/>
    <w:rsid w:val="0C4F3B8E"/>
    <w:rsid w:val="0D0809CA"/>
    <w:rsid w:val="112B10D7"/>
    <w:rsid w:val="123E56DD"/>
    <w:rsid w:val="127D1D81"/>
    <w:rsid w:val="14AB7528"/>
    <w:rsid w:val="14EC31EC"/>
    <w:rsid w:val="15CB23BE"/>
    <w:rsid w:val="16B87A75"/>
    <w:rsid w:val="17B62335"/>
    <w:rsid w:val="17EF1496"/>
    <w:rsid w:val="19F24E22"/>
    <w:rsid w:val="1AF419DB"/>
    <w:rsid w:val="1B546006"/>
    <w:rsid w:val="1BA85F0C"/>
    <w:rsid w:val="1C537982"/>
    <w:rsid w:val="1CFF2065"/>
    <w:rsid w:val="1E832CCB"/>
    <w:rsid w:val="22827711"/>
    <w:rsid w:val="22BE36FD"/>
    <w:rsid w:val="235C0F0E"/>
    <w:rsid w:val="24CF1234"/>
    <w:rsid w:val="25D84BCD"/>
    <w:rsid w:val="2665378A"/>
    <w:rsid w:val="26A7234D"/>
    <w:rsid w:val="2D693D28"/>
    <w:rsid w:val="2F8C50F1"/>
    <w:rsid w:val="30AD270E"/>
    <w:rsid w:val="30D90C96"/>
    <w:rsid w:val="32D3781F"/>
    <w:rsid w:val="3322225B"/>
    <w:rsid w:val="34516C56"/>
    <w:rsid w:val="35464300"/>
    <w:rsid w:val="35ED6DDB"/>
    <w:rsid w:val="37BA261D"/>
    <w:rsid w:val="388F608A"/>
    <w:rsid w:val="38DF475D"/>
    <w:rsid w:val="38EA7486"/>
    <w:rsid w:val="39846A97"/>
    <w:rsid w:val="3C1A3347"/>
    <w:rsid w:val="3DAD503C"/>
    <w:rsid w:val="3F207BC5"/>
    <w:rsid w:val="3F82725B"/>
    <w:rsid w:val="42FE5681"/>
    <w:rsid w:val="43974B57"/>
    <w:rsid w:val="45390F88"/>
    <w:rsid w:val="46A5364F"/>
    <w:rsid w:val="47305A2F"/>
    <w:rsid w:val="4747164D"/>
    <w:rsid w:val="48F95819"/>
    <w:rsid w:val="499301EB"/>
    <w:rsid w:val="4BCA5DDF"/>
    <w:rsid w:val="4DBC0FC4"/>
    <w:rsid w:val="4DF47BB9"/>
    <w:rsid w:val="4E0C74FB"/>
    <w:rsid w:val="4E380EE1"/>
    <w:rsid w:val="4EA71B82"/>
    <w:rsid w:val="50104FCE"/>
    <w:rsid w:val="519B539D"/>
    <w:rsid w:val="556001B4"/>
    <w:rsid w:val="5601226F"/>
    <w:rsid w:val="58544688"/>
    <w:rsid w:val="591E0122"/>
    <w:rsid w:val="5A224D57"/>
    <w:rsid w:val="5A29749A"/>
    <w:rsid w:val="5A777B15"/>
    <w:rsid w:val="6127366A"/>
    <w:rsid w:val="62192376"/>
    <w:rsid w:val="63060067"/>
    <w:rsid w:val="64A06D4A"/>
    <w:rsid w:val="69551208"/>
    <w:rsid w:val="6A6C2400"/>
    <w:rsid w:val="6D25611F"/>
    <w:rsid w:val="6D5A17DC"/>
    <w:rsid w:val="6E24289A"/>
    <w:rsid w:val="704760E6"/>
    <w:rsid w:val="708821F3"/>
    <w:rsid w:val="70EC4EB1"/>
    <w:rsid w:val="71095CFE"/>
    <w:rsid w:val="71240247"/>
    <w:rsid w:val="729F55B0"/>
    <w:rsid w:val="737863EF"/>
    <w:rsid w:val="749C1BAD"/>
    <w:rsid w:val="757F0D3B"/>
    <w:rsid w:val="79EB669D"/>
    <w:rsid w:val="7AB32A65"/>
    <w:rsid w:val="7CDC0AB5"/>
    <w:rsid w:val="7CDF03F6"/>
    <w:rsid w:val="7FC53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944CB-3F82-44DA-9E94-ABBF2686471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779</Words>
  <Characters>4445</Characters>
  <Lines>37</Lines>
  <Paragraphs>10</Paragraphs>
  <TotalTime>9</TotalTime>
  <ScaleCrop>false</ScaleCrop>
  <LinksUpToDate>false</LinksUpToDate>
  <CharactersWithSpaces>5214</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2021-06-03T09:27:00Z</dcterms:created>
  <dc:creator>李航 null</dc:creator>
  <cp:lastModifiedBy>Administrator</cp:lastModifiedBy>
  <cp:lastPrinted>2020-07-15T07:25:00Z</cp:lastPrinted>
  <dcterms:modified xsi:type="dcterms:W3CDTF">2021-06-05T05:47:03Z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