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eastAsia="方正小标宋_GBK"/>
          <w:bCs/>
          <w:kern w:val="0"/>
          <w:sz w:val="72"/>
          <w:szCs w:val="72"/>
        </w:rPr>
      </w:pPr>
      <w:r>
        <w:rPr>
          <w:rFonts w:hint="eastAsia" w:ascii="Times New Roman" w:hAnsi="Times New Roman" w:eastAsia="方正小标宋_GBK"/>
          <w:bCs/>
          <w:kern w:val="0"/>
          <w:sz w:val="72"/>
          <w:szCs w:val="72"/>
        </w:rPr>
        <w:t>鹤城区信访局</w:t>
      </w:r>
      <w:r>
        <w:rPr>
          <w:rFonts w:ascii="Times New Roman" w:hAnsi="Times New Roman" w:eastAsia="方正小标宋_GBK"/>
          <w:bCs/>
          <w:kern w:val="0"/>
          <w:sz w:val="72"/>
          <w:szCs w:val="72"/>
        </w:rPr>
        <w:t>201</w:t>
      </w:r>
      <w:r>
        <w:rPr>
          <w:rFonts w:hint="eastAsia" w:ascii="Times New Roman" w:hAnsi="Times New Roman" w:eastAsia="方正小标宋_GBK"/>
          <w:bCs/>
          <w:kern w:val="0"/>
          <w:sz w:val="72"/>
          <w:szCs w:val="72"/>
        </w:rPr>
        <w:t>9年度</w:t>
      </w:r>
    </w:p>
    <w:p>
      <w:pPr>
        <w:widowControl/>
        <w:jc w:val="center"/>
        <w:rPr>
          <w:rFonts w:ascii="Times New Roman" w:hAnsi="Times New Roman" w:eastAsia="方正小标宋_GBK"/>
          <w:bCs/>
          <w:kern w:val="0"/>
          <w:sz w:val="72"/>
          <w:szCs w:val="72"/>
        </w:rPr>
      </w:pPr>
      <w:r>
        <w:rPr>
          <w:rFonts w:hint="eastAsia" w:ascii="Times New Roman" w:hAnsi="Times New Roman" w:eastAsia="方正小标宋_GBK"/>
          <w:bCs/>
          <w:kern w:val="0"/>
          <w:sz w:val="72"/>
          <w:szCs w:val="72"/>
        </w:rPr>
        <w:t>决算公开说明</w:t>
      </w: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autoSpaceDE w:val="0"/>
        <w:autoSpaceDN w:val="0"/>
        <w:adjustRightInd w:val="0"/>
        <w:jc w:val="center"/>
        <w:rPr>
          <w:kern w:val="0"/>
          <w:sz w:val="44"/>
          <w:szCs w:val="44"/>
        </w:rPr>
      </w:pPr>
      <w:r>
        <w:rPr>
          <w:rFonts w:hint="eastAsia" w:ascii="宋体" w:cs="宋体"/>
          <w:b/>
          <w:bCs/>
          <w:kern w:val="0"/>
          <w:sz w:val="44"/>
          <w:szCs w:val="44"/>
          <w:lang w:val="zh-CN"/>
        </w:rPr>
        <w:t>目录</w:t>
      </w:r>
    </w:p>
    <w:p>
      <w:pPr>
        <w:autoSpaceDE w:val="0"/>
        <w:autoSpaceDN w:val="0"/>
        <w:adjustRightInd w:val="0"/>
        <w:rPr>
          <w:rFonts w:ascii="仿宋_GB2312" w:eastAsia="仿宋_GB2312" w:cs="仿宋_GB2312"/>
          <w:b/>
          <w:bCs/>
          <w:kern w:val="0"/>
          <w:sz w:val="32"/>
          <w:szCs w:val="32"/>
          <w:lang w:val="zh-CN"/>
        </w:rPr>
      </w:pPr>
    </w:p>
    <w:p>
      <w:pPr>
        <w:autoSpaceDE w:val="0"/>
        <w:autoSpaceDN w:val="0"/>
        <w:adjustRightInd w:val="0"/>
        <w:spacing w:line="600" w:lineRule="atLeast"/>
        <w:rPr>
          <w:rFonts w:ascii="Times New Roman"/>
          <w:b/>
          <w:bCs/>
          <w:kern w:val="0"/>
          <w:sz w:val="32"/>
          <w:szCs w:val="32"/>
        </w:rPr>
      </w:pPr>
      <w:r>
        <w:rPr>
          <w:rFonts w:hint="eastAsia" w:ascii="宋体" w:cs="宋体"/>
          <w:b/>
          <w:bCs/>
          <w:kern w:val="0"/>
          <w:sz w:val="32"/>
          <w:szCs w:val="32"/>
          <w:lang w:val="zh-CN"/>
        </w:rPr>
        <w:t>第一部分  鹤城区信访局概况</w:t>
      </w:r>
    </w:p>
    <w:p>
      <w:pPr>
        <w:autoSpaceDE w:val="0"/>
        <w:autoSpaceDN w:val="0"/>
        <w:adjustRightInd w:val="0"/>
        <w:spacing w:line="600" w:lineRule="atLeast"/>
        <w:rPr>
          <w:kern w:val="0"/>
          <w:sz w:val="32"/>
          <w:szCs w:val="32"/>
        </w:rPr>
      </w:pPr>
      <w:r>
        <w:rPr>
          <w:rFonts w:hint="eastAsia" w:ascii="宋体" w:cs="宋体"/>
          <w:kern w:val="0"/>
          <w:sz w:val="32"/>
          <w:szCs w:val="32"/>
          <w:lang w:val="zh-CN"/>
        </w:rPr>
        <w:t>一、部门职责</w:t>
      </w:r>
    </w:p>
    <w:p>
      <w:pPr>
        <w:autoSpaceDE w:val="0"/>
        <w:autoSpaceDN w:val="0"/>
        <w:adjustRightInd w:val="0"/>
        <w:spacing w:line="600" w:lineRule="atLeast"/>
        <w:rPr>
          <w:kern w:val="0"/>
          <w:sz w:val="32"/>
          <w:szCs w:val="32"/>
        </w:rPr>
      </w:pPr>
      <w:r>
        <w:rPr>
          <w:rFonts w:hint="eastAsia" w:ascii="宋体" w:cs="宋体"/>
          <w:kern w:val="0"/>
          <w:sz w:val="32"/>
          <w:szCs w:val="32"/>
          <w:lang w:val="zh-CN"/>
        </w:rPr>
        <w:t>二、机构设置</w:t>
      </w:r>
    </w:p>
    <w:p>
      <w:pPr>
        <w:autoSpaceDE w:val="0"/>
        <w:autoSpaceDN w:val="0"/>
        <w:adjustRightInd w:val="0"/>
        <w:spacing w:line="600" w:lineRule="atLeast"/>
        <w:rPr>
          <w:b/>
          <w:bCs/>
          <w:kern w:val="0"/>
          <w:sz w:val="32"/>
          <w:szCs w:val="32"/>
        </w:rPr>
      </w:pPr>
      <w:r>
        <w:rPr>
          <w:rFonts w:hint="eastAsia" w:ascii="宋体" w:cs="宋体"/>
          <w:b/>
          <w:bCs/>
          <w:kern w:val="0"/>
          <w:sz w:val="32"/>
          <w:szCs w:val="32"/>
          <w:lang w:val="zh-CN"/>
        </w:rPr>
        <w:t>第二部分鹤城区信访局</w:t>
      </w:r>
      <w:r>
        <w:rPr>
          <w:b/>
          <w:bCs/>
          <w:kern w:val="0"/>
          <w:sz w:val="32"/>
          <w:szCs w:val="32"/>
        </w:rPr>
        <w:t>201</w:t>
      </w:r>
      <w:r>
        <w:rPr>
          <w:rFonts w:hint="eastAsia"/>
          <w:b/>
          <w:bCs/>
          <w:kern w:val="0"/>
          <w:sz w:val="32"/>
          <w:szCs w:val="32"/>
        </w:rPr>
        <w:t>9</w:t>
      </w:r>
      <w:r>
        <w:rPr>
          <w:rFonts w:hint="eastAsia" w:ascii="宋体" w:cs="宋体"/>
          <w:b/>
          <w:bCs/>
          <w:kern w:val="0"/>
          <w:sz w:val="32"/>
          <w:szCs w:val="32"/>
          <w:lang w:val="zh-CN"/>
        </w:rPr>
        <w:t>年度部门决算表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一、收入支出决算总表</w:t>
      </w:r>
    </w:p>
    <w:p>
      <w:pPr>
        <w:autoSpaceDE w:val="0"/>
        <w:autoSpaceDN w:val="0"/>
        <w:adjustRightInd w:val="0"/>
        <w:spacing w:line="600" w:lineRule="atLeast"/>
        <w:rPr>
          <w:kern w:val="0"/>
          <w:sz w:val="32"/>
          <w:szCs w:val="32"/>
        </w:rPr>
      </w:pPr>
      <w:r>
        <w:rPr>
          <w:rFonts w:hint="eastAsia" w:ascii="宋体" w:cs="宋体"/>
          <w:kern w:val="0"/>
          <w:sz w:val="32"/>
          <w:szCs w:val="32"/>
          <w:lang w:val="zh-CN"/>
        </w:rPr>
        <w:t>二、收入决算表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三、支出决算表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四、财政拨款收入支出决算总表</w:t>
      </w:r>
    </w:p>
    <w:p>
      <w:pPr>
        <w:autoSpaceDE w:val="0"/>
        <w:autoSpaceDN w:val="0"/>
        <w:adjustRightInd w:val="0"/>
        <w:spacing w:line="600" w:lineRule="atLeast"/>
        <w:rPr>
          <w:kern w:val="0"/>
          <w:sz w:val="32"/>
          <w:szCs w:val="32"/>
        </w:rPr>
      </w:pPr>
      <w:r>
        <w:rPr>
          <w:rFonts w:hint="eastAsia" w:ascii="宋体" w:cs="宋体"/>
          <w:kern w:val="0"/>
          <w:sz w:val="32"/>
          <w:szCs w:val="32"/>
          <w:lang w:val="zh-CN"/>
        </w:rPr>
        <w:t>五、一般公共预算财政拨款支出决算表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六、一般公共预算财政拨款基本支出决算表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七、一般公共预算财政拨款</w:t>
      </w:r>
      <w:r>
        <w:rPr>
          <w:rFonts w:ascii="宋体" w:cs="宋体"/>
          <w:kern w:val="0"/>
          <w:sz w:val="32"/>
          <w:szCs w:val="32"/>
          <w:lang w:val="zh-CN"/>
        </w:rPr>
        <w:t>“</w:t>
      </w:r>
      <w:r>
        <w:rPr>
          <w:rFonts w:hint="eastAsia" w:ascii="宋体" w:cs="宋体"/>
          <w:kern w:val="0"/>
          <w:sz w:val="32"/>
          <w:szCs w:val="32"/>
          <w:lang w:val="zh-CN"/>
        </w:rPr>
        <w:t>三公</w:t>
      </w:r>
      <w:r>
        <w:rPr>
          <w:rFonts w:ascii="宋体" w:cs="宋体"/>
          <w:kern w:val="0"/>
          <w:sz w:val="32"/>
          <w:szCs w:val="32"/>
          <w:lang w:val="zh-CN"/>
        </w:rPr>
        <w:t>”</w:t>
      </w:r>
      <w:r>
        <w:rPr>
          <w:rFonts w:hint="eastAsia" w:ascii="宋体" w:cs="宋体"/>
          <w:kern w:val="0"/>
          <w:sz w:val="32"/>
          <w:szCs w:val="32"/>
          <w:lang w:val="zh-CN"/>
        </w:rPr>
        <w:t>经费支出决算表</w:t>
      </w:r>
    </w:p>
    <w:p>
      <w:pPr>
        <w:autoSpaceDE w:val="0"/>
        <w:autoSpaceDN w:val="0"/>
        <w:adjustRightInd w:val="0"/>
        <w:spacing w:line="600" w:lineRule="atLeast"/>
        <w:rPr>
          <w:kern w:val="0"/>
          <w:sz w:val="32"/>
          <w:szCs w:val="32"/>
        </w:rPr>
      </w:pPr>
      <w:r>
        <w:rPr>
          <w:rFonts w:hint="eastAsia" w:ascii="宋体" w:cs="宋体"/>
          <w:kern w:val="0"/>
          <w:sz w:val="32"/>
          <w:szCs w:val="32"/>
          <w:lang w:val="zh-CN"/>
        </w:rPr>
        <w:t>八、政府性基金预算财政拨款收入支出决算表</w:t>
      </w:r>
    </w:p>
    <w:p>
      <w:pPr>
        <w:autoSpaceDE w:val="0"/>
        <w:autoSpaceDN w:val="0"/>
        <w:adjustRightInd w:val="0"/>
        <w:spacing w:line="600" w:lineRule="atLeast"/>
        <w:rPr>
          <w:b/>
          <w:bCs/>
          <w:kern w:val="0"/>
          <w:sz w:val="32"/>
          <w:szCs w:val="32"/>
        </w:rPr>
      </w:pPr>
      <w:r>
        <w:rPr>
          <w:rFonts w:hint="eastAsia" w:ascii="宋体" w:cs="宋体"/>
          <w:b/>
          <w:bCs/>
          <w:kern w:val="0"/>
          <w:sz w:val="32"/>
          <w:szCs w:val="32"/>
          <w:lang w:val="zh-CN"/>
        </w:rPr>
        <w:t>第三部分鹤城区信访局</w:t>
      </w:r>
      <w:r>
        <w:rPr>
          <w:b/>
          <w:bCs/>
          <w:kern w:val="0"/>
          <w:sz w:val="32"/>
          <w:szCs w:val="32"/>
        </w:rPr>
        <w:t>201</w:t>
      </w:r>
      <w:r>
        <w:rPr>
          <w:rFonts w:hint="eastAsia"/>
          <w:b/>
          <w:bCs/>
          <w:kern w:val="0"/>
          <w:sz w:val="32"/>
          <w:szCs w:val="32"/>
        </w:rPr>
        <w:t>9</w:t>
      </w:r>
      <w:r>
        <w:rPr>
          <w:rFonts w:hint="eastAsia" w:ascii="宋体" w:cs="宋体"/>
          <w:b/>
          <w:bCs/>
          <w:kern w:val="0"/>
          <w:sz w:val="32"/>
          <w:szCs w:val="32"/>
          <w:lang w:val="zh-CN"/>
        </w:rPr>
        <w:t>年度部门决算情况说明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一、收入支出决算总体情况说明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二、收入决算情况说明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三、支出决算情况说明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四、财政拨款收入支出决算总体情况说明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五、一般公共预算财政拨款支出决算情况说明</w:t>
      </w:r>
    </w:p>
    <w:p>
      <w:pPr>
        <w:autoSpaceDE w:val="0"/>
        <w:autoSpaceDN w:val="0"/>
        <w:adjustRightInd w:val="0"/>
        <w:spacing w:line="600" w:lineRule="atLeast"/>
        <w:rPr>
          <w:kern w:val="0"/>
          <w:sz w:val="32"/>
          <w:szCs w:val="32"/>
        </w:rPr>
      </w:pPr>
      <w:r>
        <w:rPr>
          <w:rFonts w:hint="eastAsia" w:ascii="宋体" w:cs="宋体"/>
          <w:kern w:val="0"/>
          <w:sz w:val="32"/>
          <w:szCs w:val="32"/>
          <w:lang w:val="zh-CN"/>
        </w:rPr>
        <w:t>六、一般公共预算财政拨款基本支出决算情况说明</w:t>
      </w:r>
    </w:p>
    <w:p>
      <w:pPr>
        <w:autoSpaceDE w:val="0"/>
        <w:autoSpaceDN w:val="0"/>
        <w:adjustRightInd w:val="0"/>
        <w:spacing w:line="600" w:lineRule="atLeast"/>
        <w:rPr>
          <w:rFonts w:ascii="宋体" w:hAnsi="宋体" w:eastAsia="宋体" w:cs="宋体"/>
          <w:kern w:val="0"/>
          <w:sz w:val="32"/>
          <w:szCs w:val="32"/>
        </w:rPr>
      </w:pPr>
      <w:r>
        <w:rPr>
          <w:rFonts w:hint="eastAsia" w:ascii="宋体" w:hAnsi="宋体" w:eastAsia="宋体" w:cs="宋体"/>
          <w:kern w:val="0"/>
          <w:sz w:val="32"/>
          <w:szCs w:val="32"/>
          <w:lang w:val="zh-CN"/>
        </w:rPr>
        <w:t>七、一般公共预算财政拨款“三公”经费支出情况决算情况说明</w:t>
      </w:r>
    </w:p>
    <w:p>
      <w:pPr>
        <w:autoSpaceDE w:val="0"/>
        <w:autoSpaceDN w:val="0"/>
        <w:adjustRightInd w:val="0"/>
        <w:jc w:val="left"/>
        <w:rPr>
          <w:rFonts w:ascii="宋体" w:hAnsi="宋体" w:eastAsia="宋体" w:cs="宋体"/>
          <w:color w:val="000000"/>
          <w:kern w:val="0"/>
          <w:sz w:val="32"/>
          <w:szCs w:val="32"/>
          <w:lang w:val="zh-CN"/>
        </w:rPr>
      </w:pPr>
      <w:r>
        <w:rPr>
          <w:rFonts w:hint="eastAsia" w:ascii="宋体" w:hAnsi="宋体" w:eastAsia="宋体" w:cs="宋体"/>
          <w:color w:val="000000"/>
          <w:kern w:val="0"/>
          <w:sz w:val="32"/>
          <w:szCs w:val="32"/>
          <w:lang w:val="zh-CN"/>
        </w:rPr>
        <w:t>八、政府性基金预算收入支出决算情况</w:t>
      </w:r>
    </w:p>
    <w:p>
      <w:pPr>
        <w:autoSpaceDE w:val="0"/>
        <w:autoSpaceDN w:val="0"/>
        <w:adjustRightInd w:val="0"/>
        <w:spacing w:line="600" w:lineRule="atLeast"/>
        <w:rPr>
          <w:rFonts w:ascii="宋体" w:hAnsi="宋体" w:eastAsia="宋体" w:cs="宋体"/>
          <w:kern w:val="0"/>
          <w:sz w:val="32"/>
          <w:szCs w:val="32"/>
          <w:lang w:val="zh-CN"/>
        </w:rPr>
      </w:pPr>
      <w:r>
        <w:rPr>
          <w:rFonts w:hint="eastAsia" w:ascii="宋体" w:hAnsi="宋体" w:eastAsia="宋体" w:cs="宋体"/>
          <w:kern w:val="0"/>
          <w:sz w:val="32"/>
          <w:szCs w:val="32"/>
          <w:lang w:val="zh-CN"/>
        </w:rPr>
        <w:t>九.预算绩效情况说明</w:t>
      </w:r>
    </w:p>
    <w:p>
      <w:pPr>
        <w:autoSpaceDE w:val="0"/>
        <w:autoSpaceDN w:val="0"/>
        <w:adjustRightInd w:val="0"/>
        <w:spacing w:line="600" w:lineRule="atLeast"/>
        <w:rPr>
          <w:rFonts w:ascii="宋体" w:hAnsi="宋体" w:eastAsia="宋体" w:cs="宋体"/>
          <w:kern w:val="0"/>
          <w:sz w:val="32"/>
          <w:szCs w:val="32"/>
        </w:rPr>
      </w:pPr>
      <w:r>
        <w:rPr>
          <w:rFonts w:hint="eastAsia" w:ascii="宋体" w:hAnsi="宋体" w:eastAsia="宋体" w:cs="宋体"/>
          <w:kern w:val="0"/>
          <w:sz w:val="32"/>
          <w:szCs w:val="32"/>
          <w:lang w:val="zh-CN"/>
        </w:rPr>
        <w:t>十、其他重要事项的情况说明</w:t>
      </w:r>
    </w:p>
    <w:p>
      <w:pPr>
        <w:autoSpaceDE w:val="0"/>
        <w:autoSpaceDN w:val="0"/>
        <w:adjustRightInd w:val="0"/>
        <w:spacing w:line="520" w:lineRule="exact"/>
        <w:jc w:val="left"/>
        <w:rPr>
          <w:rFonts w:ascii="宋体" w:hAnsi="宋体" w:eastAsia="宋体" w:cs="宋体"/>
          <w:b/>
          <w:color w:val="000000"/>
          <w:kern w:val="0"/>
          <w:sz w:val="32"/>
          <w:szCs w:val="32"/>
        </w:rPr>
      </w:pPr>
      <w:r>
        <w:rPr>
          <w:rFonts w:hint="eastAsia" w:ascii="宋体" w:hAnsi="宋体" w:eastAsia="宋体" w:cs="宋体"/>
          <w:b/>
          <w:color w:val="000000"/>
          <w:kern w:val="0"/>
          <w:sz w:val="32"/>
          <w:szCs w:val="32"/>
        </w:rPr>
        <w:t>第四部分名词解释</w:t>
      </w:r>
    </w:p>
    <w:p>
      <w:pPr>
        <w:spacing w:line="520" w:lineRule="exact"/>
        <w:jc w:val="left"/>
        <w:rPr>
          <w:rFonts w:ascii="宋体" w:hAnsi="宋体" w:eastAsia="宋体" w:cs="宋体"/>
          <w:b/>
          <w:color w:val="000000"/>
          <w:kern w:val="0"/>
          <w:sz w:val="32"/>
          <w:szCs w:val="32"/>
        </w:rPr>
      </w:pPr>
      <w:r>
        <w:rPr>
          <w:rFonts w:hint="eastAsia" w:ascii="宋体" w:hAnsi="宋体" w:eastAsia="宋体" w:cs="宋体"/>
          <w:b/>
          <w:color w:val="000000"/>
          <w:kern w:val="0"/>
          <w:sz w:val="32"/>
          <w:szCs w:val="32"/>
        </w:rPr>
        <w:t>第五部分附件</w:t>
      </w: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宋体" w:hAnsi="宋体" w:eastAsia="宋体" w:cs="宋体"/>
          <w:b/>
          <w:bCs/>
          <w:sz w:val="32"/>
          <w:szCs w:val="32"/>
        </w:rPr>
      </w:pPr>
      <w:r>
        <w:rPr>
          <w:rFonts w:hint="eastAsia" w:ascii="宋体" w:hAnsi="宋体" w:eastAsia="宋体" w:cs="宋体"/>
          <w:b/>
          <w:bCs/>
          <w:sz w:val="32"/>
          <w:szCs w:val="32"/>
        </w:rPr>
        <w:t>第一部分</w:t>
      </w:r>
    </w:p>
    <w:p>
      <w:pPr>
        <w:pStyle w:val="10"/>
        <w:numPr>
          <w:ilvl w:val="0"/>
          <w:numId w:val="1"/>
        </w:numPr>
        <w:ind w:firstLineChars="0"/>
        <w:jc w:val="left"/>
        <w:rPr>
          <w:rFonts w:ascii="宋体" w:hAnsi="宋体" w:eastAsia="宋体" w:cs="宋体"/>
          <w:b/>
          <w:bCs/>
          <w:sz w:val="32"/>
          <w:szCs w:val="32"/>
        </w:rPr>
      </w:pPr>
      <w:r>
        <w:rPr>
          <w:rFonts w:hint="eastAsia" w:ascii="宋体" w:hAnsi="宋体" w:eastAsia="宋体" w:cs="宋体"/>
          <w:b/>
          <w:bCs/>
          <w:sz w:val="32"/>
          <w:szCs w:val="32"/>
        </w:rPr>
        <w:t>部门职责</w:t>
      </w:r>
    </w:p>
    <w:p>
      <w:pPr>
        <w:widowControl/>
        <w:spacing w:line="600" w:lineRule="exact"/>
        <w:ind w:firstLine="640" w:firstLineChars="200"/>
        <w:rPr>
          <w:rFonts w:ascii="宋体" w:hAnsi="宋体" w:eastAsia="宋体" w:cs="宋体"/>
          <w:bCs/>
          <w:kern w:val="0"/>
          <w:sz w:val="32"/>
          <w:szCs w:val="32"/>
        </w:rPr>
      </w:pPr>
      <w:r>
        <w:rPr>
          <w:rFonts w:hint="eastAsia" w:ascii="宋体" w:hAnsi="宋体" w:eastAsia="宋体" w:cs="宋体"/>
          <w:bCs/>
          <w:kern w:val="0"/>
          <w:sz w:val="32"/>
          <w:szCs w:val="32"/>
        </w:rPr>
        <w:t>1、负责处理辖区群众及其他组织通过信访渠道给区委、区政府及主要领导同志来信来电的呈报、承办、转办、交办、督办工作；接待到区委、区政府机关的群众来访；</w:t>
      </w:r>
    </w:p>
    <w:p>
      <w:pPr>
        <w:widowControl/>
        <w:spacing w:line="600" w:lineRule="exact"/>
        <w:rPr>
          <w:rFonts w:ascii="宋体" w:hAnsi="宋体" w:eastAsia="宋体" w:cs="宋体"/>
          <w:bCs/>
          <w:kern w:val="0"/>
          <w:sz w:val="32"/>
          <w:szCs w:val="32"/>
        </w:rPr>
      </w:pPr>
      <w:r>
        <w:rPr>
          <w:rFonts w:hint="eastAsia" w:ascii="宋体" w:hAnsi="宋体" w:eastAsia="宋体" w:cs="宋体"/>
          <w:bCs/>
          <w:kern w:val="0"/>
          <w:sz w:val="32"/>
          <w:szCs w:val="32"/>
        </w:rPr>
        <w:t>　　2、负责向区委、区政府反映群众来信来电来访中提出的重要建议、意见和问题，综合研判信访信息，开展调查研究，提出解决问题、完善政策的意见和建议，为区委、区政府和领导决策当好参谋；</w:t>
      </w:r>
    </w:p>
    <w:p>
      <w:pPr>
        <w:widowControl/>
        <w:spacing w:line="600" w:lineRule="exact"/>
        <w:rPr>
          <w:rFonts w:ascii="宋体" w:hAnsi="宋体" w:eastAsia="宋体" w:cs="宋体"/>
          <w:bCs/>
          <w:kern w:val="0"/>
          <w:sz w:val="32"/>
          <w:szCs w:val="32"/>
        </w:rPr>
      </w:pPr>
      <w:r>
        <w:rPr>
          <w:rFonts w:hint="eastAsia" w:ascii="宋体" w:hAnsi="宋体" w:eastAsia="宋体" w:cs="宋体"/>
          <w:bCs/>
          <w:kern w:val="0"/>
          <w:sz w:val="32"/>
          <w:szCs w:val="32"/>
        </w:rPr>
        <w:t>　　3、承办国家信访局、省、市信访局、上级有关部门向区委、区政府交办和区委、区政府领导批示交办的重要信访事项，督促检查办理落实情况；</w:t>
      </w:r>
    </w:p>
    <w:p>
      <w:pPr>
        <w:widowControl/>
        <w:spacing w:line="600" w:lineRule="exact"/>
        <w:rPr>
          <w:rFonts w:ascii="宋体" w:hAnsi="宋体" w:eastAsia="宋体" w:cs="宋体"/>
          <w:bCs/>
          <w:kern w:val="0"/>
          <w:sz w:val="32"/>
          <w:szCs w:val="32"/>
        </w:rPr>
      </w:pPr>
      <w:r>
        <w:rPr>
          <w:rFonts w:hint="eastAsia" w:ascii="宋体" w:hAnsi="宋体" w:eastAsia="宋体" w:cs="宋体"/>
          <w:bCs/>
          <w:kern w:val="0"/>
          <w:sz w:val="32"/>
          <w:szCs w:val="32"/>
        </w:rPr>
        <w:t>　　4、按照“属地管理、分级负责，谁主管、谁负责”的原则，向区直各部门、单位、街道（社区）、乡镇交办、转办有关信访事项，督促检查重要信访事项的处理和落实情况；协调处理跨地区、跨部门的重要信访问题；负责协调我区赴省进京非正常上访人员的劝返工作；</w:t>
      </w:r>
    </w:p>
    <w:p>
      <w:pPr>
        <w:widowControl/>
        <w:spacing w:line="600" w:lineRule="exact"/>
        <w:rPr>
          <w:rFonts w:ascii="宋体" w:hAnsi="宋体" w:eastAsia="宋体" w:cs="宋体"/>
          <w:bCs/>
          <w:kern w:val="0"/>
          <w:sz w:val="32"/>
          <w:szCs w:val="32"/>
        </w:rPr>
      </w:pPr>
      <w:r>
        <w:rPr>
          <w:rFonts w:hint="eastAsia" w:ascii="宋体" w:hAnsi="宋体" w:eastAsia="宋体" w:cs="宋体"/>
          <w:bCs/>
          <w:kern w:val="0"/>
          <w:sz w:val="32"/>
          <w:szCs w:val="32"/>
        </w:rPr>
        <w:t>　　5、协调、检查、指导全区信访工作，推动中央、省委、省政府和市委、市政府、区委、区政府关于信访工作决策部署的贯彻落实；起草有关信访工作办法、规定草案；对信访事项办理过程中存在的问题和不足提出改进工作和责任追究的意见和建议。</w:t>
      </w:r>
    </w:p>
    <w:p>
      <w:pPr>
        <w:widowControl/>
        <w:spacing w:line="600" w:lineRule="exact"/>
        <w:rPr>
          <w:rFonts w:ascii="宋体" w:hAnsi="宋体" w:eastAsia="宋体" w:cs="宋体"/>
          <w:bCs/>
          <w:kern w:val="0"/>
          <w:sz w:val="32"/>
          <w:szCs w:val="32"/>
        </w:rPr>
      </w:pPr>
      <w:r>
        <w:rPr>
          <w:rFonts w:hint="eastAsia" w:ascii="宋体" w:hAnsi="宋体" w:eastAsia="宋体" w:cs="宋体"/>
          <w:bCs/>
          <w:kern w:val="0"/>
          <w:sz w:val="32"/>
          <w:szCs w:val="32"/>
        </w:rPr>
        <w:t>　　6、组织实施信访问题排查化解工作，建立和完善信访信息汇集分析机制，指导全区信访信息系统建设和应用。</w:t>
      </w:r>
    </w:p>
    <w:p>
      <w:pPr>
        <w:widowControl/>
        <w:spacing w:line="600" w:lineRule="exact"/>
        <w:rPr>
          <w:rFonts w:ascii="宋体" w:hAnsi="宋体" w:eastAsia="宋体" w:cs="宋体"/>
          <w:bCs/>
          <w:kern w:val="0"/>
          <w:sz w:val="32"/>
          <w:szCs w:val="32"/>
        </w:rPr>
      </w:pPr>
      <w:r>
        <w:rPr>
          <w:rFonts w:hint="eastAsia" w:ascii="宋体" w:hAnsi="宋体" w:eastAsia="宋体" w:cs="宋体"/>
          <w:bCs/>
          <w:kern w:val="0"/>
          <w:sz w:val="32"/>
          <w:szCs w:val="32"/>
        </w:rPr>
        <w:t>　　7、承担区处理信访突出问题及涉访群体性事件联席会议的日常工作，督促落实联席会议决定的事项；</w:t>
      </w:r>
    </w:p>
    <w:p>
      <w:pPr>
        <w:widowControl/>
        <w:spacing w:line="600" w:lineRule="exact"/>
        <w:rPr>
          <w:rFonts w:ascii="宋体" w:hAnsi="宋体" w:eastAsia="宋体" w:cs="宋体"/>
          <w:bCs/>
          <w:kern w:val="0"/>
          <w:sz w:val="32"/>
          <w:szCs w:val="32"/>
        </w:rPr>
      </w:pPr>
      <w:r>
        <w:rPr>
          <w:rFonts w:hint="eastAsia" w:ascii="宋体" w:hAnsi="宋体" w:eastAsia="宋体" w:cs="宋体"/>
          <w:bCs/>
          <w:kern w:val="0"/>
          <w:sz w:val="32"/>
          <w:szCs w:val="32"/>
        </w:rPr>
        <w:t>　　8、总结推广全区及各部门信访工作经验；负责全区信访宣传和信息发布工作。</w:t>
      </w:r>
    </w:p>
    <w:p>
      <w:pPr>
        <w:widowControl/>
        <w:spacing w:line="600" w:lineRule="exact"/>
        <w:rPr>
          <w:rFonts w:ascii="宋体" w:hAnsi="宋体" w:eastAsia="宋体" w:cs="宋体"/>
          <w:b/>
          <w:kern w:val="0"/>
          <w:sz w:val="32"/>
          <w:szCs w:val="32"/>
        </w:rPr>
      </w:pPr>
      <w:r>
        <w:rPr>
          <w:rFonts w:hint="eastAsia" w:ascii="宋体" w:hAnsi="宋体" w:eastAsia="宋体" w:cs="宋体"/>
          <w:b/>
          <w:kern w:val="0"/>
          <w:sz w:val="32"/>
          <w:szCs w:val="32"/>
        </w:rPr>
        <w:t>二、机构设置及决算单位构成</w:t>
      </w:r>
    </w:p>
    <w:p>
      <w:pPr>
        <w:ind w:firstLine="640" w:firstLineChars="200"/>
        <w:rPr>
          <w:rFonts w:ascii="宋体" w:hAnsi="宋体" w:eastAsia="宋体" w:cs="宋体"/>
          <w:bCs/>
          <w:kern w:val="0"/>
          <w:sz w:val="32"/>
          <w:szCs w:val="32"/>
        </w:rPr>
      </w:pPr>
      <w:r>
        <w:rPr>
          <w:rFonts w:hint="eastAsia" w:ascii="宋体" w:hAnsi="宋体" w:eastAsia="宋体" w:cs="宋体"/>
          <w:bCs/>
          <w:kern w:val="0"/>
          <w:sz w:val="32"/>
          <w:szCs w:val="32"/>
        </w:rPr>
        <w:t>（一）内设机构设置。鹤城区信访局内设机构包括</w:t>
      </w:r>
      <w:r>
        <w:rPr>
          <w:rFonts w:hint="eastAsia" w:ascii="宋体" w:hAnsi="宋体" w:eastAsia="宋体" w:cs="宋体"/>
          <w:sz w:val="32"/>
          <w:szCs w:val="32"/>
        </w:rPr>
        <w:t>：办信网信股、信访事项复查复核委员会办公室共2个股室。</w:t>
      </w:r>
    </w:p>
    <w:p>
      <w:pPr>
        <w:widowControl/>
        <w:spacing w:line="600" w:lineRule="exact"/>
        <w:ind w:firstLine="640" w:firstLineChars="200"/>
        <w:rPr>
          <w:rFonts w:ascii="宋体" w:hAnsi="宋体" w:eastAsia="宋体" w:cs="宋体"/>
          <w:bCs/>
          <w:kern w:val="0"/>
          <w:sz w:val="32"/>
          <w:szCs w:val="32"/>
        </w:rPr>
      </w:pPr>
      <w:r>
        <w:rPr>
          <w:rFonts w:hint="eastAsia" w:ascii="宋体" w:hAnsi="宋体" w:eastAsia="宋体" w:cs="宋体"/>
          <w:bCs/>
          <w:kern w:val="0"/>
          <w:sz w:val="32"/>
          <w:szCs w:val="32"/>
        </w:rPr>
        <w:t>（二）决算单位构成。鹤城区信访局2019年部门决算汇总公开单位构成包括：鹤城区信访局本级。</w:t>
      </w:r>
    </w:p>
    <w:p>
      <w:pPr>
        <w:jc w:val="left"/>
        <w:rPr>
          <w:rFonts w:ascii="宋体" w:hAnsi="宋体" w:eastAsia="宋体" w:cs="宋体"/>
          <w:sz w:val="32"/>
          <w:szCs w:val="32"/>
        </w:rPr>
      </w:pPr>
    </w:p>
    <w:p>
      <w:pPr>
        <w:rPr>
          <w:rFonts w:ascii="宋体" w:hAnsi="宋体" w:eastAsia="宋体" w:cs="宋体"/>
          <w:b/>
          <w:sz w:val="32"/>
          <w:szCs w:val="32"/>
        </w:rPr>
      </w:pPr>
      <w:r>
        <w:rPr>
          <w:rFonts w:hint="eastAsia" w:ascii="宋体" w:hAnsi="宋体" w:eastAsia="宋体" w:cs="宋体"/>
          <w:b/>
          <w:sz w:val="32"/>
          <w:szCs w:val="32"/>
        </w:rPr>
        <w:t>第二部分</w:t>
      </w:r>
    </w:p>
    <w:p>
      <w:pPr>
        <w:rPr>
          <w:rFonts w:ascii="宋体" w:hAnsi="宋体" w:eastAsia="宋体" w:cs="宋体"/>
          <w:b/>
          <w:sz w:val="32"/>
          <w:szCs w:val="32"/>
        </w:rPr>
      </w:pPr>
      <w:r>
        <w:rPr>
          <w:rFonts w:hint="eastAsia" w:ascii="宋体" w:hAnsi="宋体" w:eastAsia="宋体" w:cs="宋体"/>
          <w:b/>
          <w:sz w:val="32"/>
          <w:szCs w:val="32"/>
        </w:rPr>
        <w:t>部门决算表（详见附表）</w:t>
      </w:r>
    </w:p>
    <w:p>
      <w:pPr>
        <w:pStyle w:val="9"/>
        <w:rPr>
          <w:rFonts w:ascii="宋体" w:hAnsi="宋体" w:eastAsia="宋体" w:cs="宋体"/>
          <w:sz w:val="32"/>
          <w:szCs w:val="32"/>
        </w:rPr>
      </w:pPr>
    </w:p>
    <w:p/>
    <w:p/>
    <w:p/>
    <w:p/>
    <w:p/>
    <w:p/>
    <w:p/>
    <w:p/>
    <w:p/>
    <w:p/>
    <w:p/>
    <w:p/>
    <w:p/>
    <w:p/>
    <w:p/>
    <w:p/>
    <w:p/>
    <w:p/>
    <w:p/>
    <w:p/>
    <w:p/>
    <w:p/>
    <w:p/>
    <w:p/>
    <w:p/>
    <w:p/>
    <w:p/>
    <w:p/>
    <w:p/>
    <w:p/>
    <w:p>
      <w:pPr>
        <w:tabs>
          <w:tab w:val="left" w:pos="7817"/>
        </w:tabs>
        <w:jc w:val="left"/>
        <w:sectPr>
          <w:pgSz w:w="11906" w:h="16838"/>
          <w:pgMar w:top="720" w:right="720" w:bottom="720" w:left="720" w:header="851" w:footer="992" w:gutter="0"/>
          <w:cols w:space="425" w:num="1"/>
          <w:docGrid w:type="lines" w:linePitch="312" w:charSpace="0"/>
        </w:sectPr>
      </w:pPr>
    </w:p>
    <w:p>
      <w:pPr>
        <w:rPr>
          <w:b/>
          <w:sz w:val="32"/>
          <w:szCs w:val="32"/>
        </w:rPr>
      </w:pPr>
      <w:r>
        <w:rPr>
          <w:rFonts w:hint="eastAsia"/>
          <w:b/>
          <w:sz w:val="32"/>
          <w:szCs w:val="32"/>
        </w:rPr>
        <w:t>第三部分</w:t>
      </w:r>
    </w:p>
    <w:p>
      <w:pPr>
        <w:rPr>
          <w:b/>
          <w:sz w:val="32"/>
          <w:szCs w:val="32"/>
        </w:rPr>
      </w:pPr>
      <w:r>
        <w:rPr>
          <w:b/>
          <w:sz w:val="32"/>
          <w:szCs w:val="32"/>
        </w:rPr>
        <w:t>2019</w:t>
      </w:r>
      <w:r>
        <w:rPr>
          <w:rFonts w:hint="eastAsia"/>
          <w:b/>
          <w:sz w:val="32"/>
          <w:szCs w:val="32"/>
        </w:rPr>
        <w:t>年度部门决算情况说明</w:t>
      </w:r>
    </w:p>
    <w:p>
      <w:pPr>
        <w:pStyle w:val="9"/>
        <w:ind w:firstLine="627" w:firstLineChars="196"/>
        <w:rPr>
          <w:rFonts w:hAnsi="黑体"/>
          <w:b/>
          <w:sz w:val="32"/>
          <w:szCs w:val="32"/>
        </w:rPr>
      </w:pPr>
      <w:r>
        <w:rPr>
          <w:rFonts w:hint="eastAsia" w:hAnsi="黑体"/>
          <w:b/>
          <w:sz w:val="32"/>
          <w:szCs w:val="32"/>
        </w:rPr>
        <w:t>一、收入支出决算总体情况说明</w:t>
      </w:r>
    </w:p>
    <w:p>
      <w:pPr>
        <w:widowControl/>
        <w:spacing w:line="600" w:lineRule="exact"/>
        <w:ind w:firstLine="627" w:firstLineChars="196"/>
        <w:jc w:val="left"/>
        <w:rPr>
          <w:rFonts w:eastAsia="黑体" w:asciiTheme="minorEastAsia" w:hAnsiTheme="minorEastAsia"/>
          <w:sz w:val="32"/>
          <w:szCs w:val="32"/>
        </w:rPr>
      </w:pPr>
      <w:r>
        <w:rPr>
          <w:rFonts w:hint="eastAsia" w:asciiTheme="minorEastAsia" w:hAnsiTheme="minorEastAsia"/>
          <w:sz w:val="32"/>
          <w:szCs w:val="32"/>
        </w:rPr>
        <w:t>2019年度收入合计282.7万元,跟2018年相比，收入增加90.262万元，增长32%，</w:t>
      </w:r>
      <w:r>
        <w:rPr>
          <w:rFonts w:hint="eastAsia" w:ascii="宋体" w:hAnsi="宋体" w:eastAsia="宋体" w:cs="宋体"/>
          <w:sz w:val="32"/>
          <w:szCs w:val="32"/>
        </w:rPr>
        <w:t>主要是因为今年决算金额包含单位干部职工全额工资和津补贴;2019</w:t>
      </w:r>
      <w:r>
        <w:rPr>
          <w:rFonts w:hint="eastAsia" w:asciiTheme="minorEastAsia" w:hAnsiTheme="minorEastAsia"/>
          <w:sz w:val="32"/>
          <w:szCs w:val="32"/>
        </w:rPr>
        <w:t>支出合计279.1万元,</w:t>
      </w:r>
      <w:r>
        <w:rPr>
          <w:rFonts w:hint="eastAsia" w:ascii="宋体" w:hAnsi="宋体" w:eastAsia="宋体" w:cs="宋体"/>
          <w:sz w:val="32"/>
          <w:szCs w:val="32"/>
        </w:rPr>
        <w:t>跟2018年相比，支出增加90.262万元，增长32%，主要是因为今年决算金额包含单位干部职工全额工资和津补贴，因此支出金额增加。</w:t>
      </w:r>
    </w:p>
    <w:p>
      <w:pPr>
        <w:pStyle w:val="9"/>
        <w:ind w:firstLine="627" w:firstLineChars="196"/>
        <w:rPr>
          <w:rFonts w:hAnsi="黑体"/>
          <w:b/>
          <w:sz w:val="32"/>
          <w:szCs w:val="32"/>
        </w:rPr>
      </w:pPr>
      <w:r>
        <w:rPr>
          <w:rFonts w:hint="eastAsia" w:hAnsi="黑体"/>
          <w:b/>
          <w:sz w:val="32"/>
          <w:szCs w:val="32"/>
        </w:rPr>
        <w:t>二、收入决算情况说明</w:t>
      </w:r>
    </w:p>
    <w:p>
      <w:pPr>
        <w:widowControl/>
        <w:spacing w:line="600" w:lineRule="exact"/>
        <w:ind w:firstLine="627" w:firstLineChars="196"/>
        <w:jc w:val="left"/>
        <w:rPr>
          <w:rFonts w:asciiTheme="minorEastAsia" w:hAnsiTheme="minorEastAsia"/>
          <w:sz w:val="32"/>
          <w:szCs w:val="32"/>
        </w:rPr>
      </w:pPr>
      <w:r>
        <w:rPr>
          <w:rFonts w:hint="eastAsia" w:asciiTheme="minorEastAsia" w:hAnsiTheme="minorEastAsia"/>
          <w:sz w:val="32"/>
          <w:szCs w:val="32"/>
        </w:rPr>
        <w:t>本年收入合计282.7万元，其中：财政拨款收入</w:t>
      </w:r>
      <w:r>
        <w:rPr>
          <w:rFonts w:asciiTheme="minorEastAsia" w:hAnsiTheme="minorEastAsia"/>
          <w:sz w:val="32"/>
          <w:szCs w:val="32"/>
        </w:rPr>
        <w:t>271.05</w:t>
      </w:r>
      <w:r>
        <w:rPr>
          <w:rFonts w:hint="eastAsia" w:asciiTheme="minorEastAsia" w:hAnsiTheme="minorEastAsia"/>
          <w:sz w:val="32"/>
          <w:szCs w:val="32"/>
        </w:rPr>
        <w:t>万元，占95.9%；上级补助收入0万元，占0%；事业收入0万元，占0%；经营收入0万元，占0%；附属单位上缴收入0万元，占0%；其他收入11.66万元，占4.1%。</w:t>
      </w:r>
    </w:p>
    <w:p>
      <w:pPr>
        <w:pStyle w:val="9"/>
        <w:ind w:firstLine="627" w:firstLineChars="196"/>
        <w:rPr>
          <w:rFonts w:hAnsi="黑体"/>
          <w:b/>
          <w:sz w:val="32"/>
          <w:szCs w:val="32"/>
        </w:rPr>
      </w:pPr>
      <w:r>
        <w:rPr>
          <w:rFonts w:hint="eastAsia" w:hAnsi="黑体"/>
          <w:b/>
          <w:sz w:val="32"/>
          <w:szCs w:val="32"/>
        </w:rPr>
        <w:t>三、支出决算情况说明</w:t>
      </w:r>
    </w:p>
    <w:p>
      <w:pPr>
        <w:widowControl/>
        <w:spacing w:line="600" w:lineRule="exact"/>
        <w:ind w:firstLine="627" w:firstLineChars="196"/>
        <w:jc w:val="left"/>
        <w:rPr>
          <w:rFonts w:asciiTheme="minorEastAsia" w:hAnsiTheme="minorEastAsia"/>
          <w:sz w:val="32"/>
          <w:szCs w:val="32"/>
        </w:rPr>
      </w:pPr>
      <w:r>
        <w:rPr>
          <w:rFonts w:hint="eastAsia" w:asciiTheme="minorEastAsia" w:hAnsiTheme="minorEastAsia"/>
          <w:sz w:val="32"/>
          <w:szCs w:val="32"/>
        </w:rPr>
        <w:t>本年支出合计279.1万元，其中：基本支出168.44万元，占60.4%；项目支出110.66万元，占39.6%；上缴上级支出0万元，占0%；经营支出0万元，占0%；对附属单位补助支出0万元，占0%；年末结转和结余3.6万元。</w:t>
      </w:r>
    </w:p>
    <w:p>
      <w:pPr>
        <w:pStyle w:val="9"/>
        <w:ind w:firstLine="627" w:firstLineChars="196"/>
        <w:rPr>
          <w:rFonts w:hAnsi="黑体"/>
          <w:b/>
          <w:sz w:val="32"/>
          <w:szCs w:val="32"/>
        </w:rPr>
      </w:pPr>
      <w:r>
        <w:rPr>
          <w:rFonts w:hint="eastAsia" w:hAnsi="黑体"/>
          <w:b/>
          <w:sz w:val="32"/>
          <w:szCs w:val="32"/>
        </w:rPr>
        <w:t>四、财政拨款收入支出决算总体情况说明</w:t>
      </w:r>
    </w:p>
    <w:p>
      <w:pPr>
        <w:widowControl/>
        <w:spacing w:line="600" w:lineRule="exact"/>
        <w:ind w:firstLine="627" w:firstLineChars="196"/>
        <w:jc w:val="left"/>
        <w:rPr>
          <w:rFonts w:asciiTheme="minorEastAsia" w:hAnsiTheme="minorEastAsia"/>
          <w:sz w:val="32"/>
          <w:szCs w:val="32"/>
        </w:rPr>
      </w:pPr>
      <w:r>
        <w:rPr>
          <w:rFonts w:hint="eastAsia" w:asciiTheme="minorEastAsia" w:hAnsiTheme="minorEastAsia"/>
          <w:sz w:val="32"/>
          <w:szCs w:val="32"/>
        </w:rPr>
        <w:t>2019年度财政拨款收入合计271.05万元,跟2018年相比，收入增加90.262万元，增长32%，</w:t>
      </w:r>
      <w:r>
        <w:rPr>
          <w:rFonts w:hint="eastAsia" w:ascii="宋体" w:hAnsi="宋体" w:eastAsia="宋体" w:cs="宋体"/>
          <w:sz w:val="32"/>
          <w:szCs w:val="32"/>
        </w:rPr>
        <w:t>主要是因为今年决算金额包含单位干部职工全额工资和津补贴;2019财政拨款</w:t>
      </w:r>
      <w:r>
        <w:rPr>
          <w:rFonts w:hint="eastAsia" w:asciiTheme="minorEastAsia" w:hAnsiTheme="minorEastAsia"/>
          <w:sz w:val="32"/>
          <w:szCs w:val="32"/>
        </w:rPr>
        <w:t>支出合计267.44万元,</w:t>
      </w:r>
      <w:r>
        <w:rPr>
          <w:rFonts w:hint="eastAsia" w:ascii="宋体" w:hAnsi="宋体" w:eastAsia="宋体" w:cs="宋体"/>
          <w:sz w:val="32"/>
          <w:szCs w:val="32"/>
        </w:rPr>
        <w:t>跟2018年相比，支出增加90.262万元，增长32%，主要是因为今年决算金额包含单位干部职工全额工资和津补贴，因此支出金额增加。</w:t>
      </w:r>
    </w:p>
    <w:p>
      <w:pPr>
        <w:pStyle w:val="9"/>
        <w:ind w:firstLine="627" w:firstLineChars="196"/>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仿宋_GB2312" w:hAnsi="仿宋_GB2312" w:eastAsia="仿宋_GB2312" w:cs="仿宋_GB2312"/>
          <w:sz w:val="32"/>
          <w:szCs w:val="32"/>
        </w:rPr>
      </w:pPr>
      <w:r>
        <w:rPr>
          <w:rFonts w:hint="eastAsia" w:asciiTheme="minorEastAsia" w:hAnsiTheme="minorEastAsia" w:eastAsiaTheme="minorEastAsia"/>
          <w:sz w:val="32"/>
          <w:szCs w:val="32"/>
        </w:rPr>
        <w:t>2019年度财政拨款支出</w:t>
      </w:r>
      <w:r>
        <w:rPr>
          <w:rFonts w:hint="eastAsia"/>
          <w:szCs w:val="32"/>
        </w:rPr>
        <w:t>279.1</w:t>
      </w:r>
      <w:r>
        <w:rPr>
          <w:rFonts w:hint="eastAsia" w:asciiTheme="minorEastAsia" w:hAnsiTheme="minorEastAsia" w:eastAsiaTheme="minorEastAsia"/>
          <w:sz w:val="32"/>
          <w:szCs w:val="32"/>
        </w:rPr>
        <w:t>万元，占本年支出合计的100%，与2018年</w:t>
      </w:r>
      <w:r>
        <w:rPr>
          <w:rFonts w:asciiTheme="minorEastAsia" w:hAnsiTheme="minorEastAsia" w:eastAsiaTheme="minorEastAsia"/>
          <w:bCs/>
          <w:sz w:val="32"/>
          <w:szCs w:val="32"/>
        </w:rPr>
        <w:t>192.438</w:t>
      </w:r>
      <w:r>
        <w:rPr>
          <w:rFonts w:hint="eastAsia" w:asciiTheme="minorEastAsia" w:hAnsiTheme="minorEastAsia" w:eastAsiaTheme="minorEastAsia"/>
          <w:sz w:val="32"/>
          <w:szCs w:val="32"/>
        </w:rPr>
        <w:t>万元相比，财政拨款支出增加78.61万元,增长40.9%，主要是因为</w:t>
      </w:r>
      <w:r>
        <w:rPr>
          <w:rFonts w:hint="eastAsia" w:ascii="仿宋_GB2312" w:hAnsi="仿宋_GB2312" w:eastAsia="仿宋_GB2312" w:cs="仿宋_GB2312"/>
          <w:sz w:val="32"/>
          <w:szCs w:val="32"/>
        </w:rPr>
        <w:t>统计口径不同。</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2019年度财政拨款支出279.1万元，主要用于以下方面：行政运行类支出168.44万元，占60.4%；行政运行信访事务类支出110.66万元，占39.6%。</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仿宋_GB2312" w:hAnsi="仿宋_GB2312" w:eastAsia="仿宋_GB2312" w:cs="仿宋_GB2312"/>
          <w:sz w:val="32"/>
          <w:szCs w:val="32"/>
        </w:rPr>
      </w:pPr>
      <w:r>
        <w:rPr>
          <w:rFonts w:hint="eastAsia" w:asciiTheme="minorEastAsia" w:hAnsiTheme="minorEastAsia" w:eastAsiaTheme="minorEastAsia"/>
          <w:sz w:val="32"/>
          <w:szCs w:val="32"/>
        </w:rPr>
        <w:t>2019年度财政拨款支出年初预算数为</w:t>
      </w:r>
      <w:r>
        <w:rPr>
          <w:rFonts w:hint="eastAsia" w:ascii="仿宋_GB2312" w:hAnsi="仿宋_GB2312" w:eastAsia="仿宋_GB2312" w:cs="仿宋_GB2312"/>
          <w:sz w:val="32"/>
          <w:szCs w:val="32"/>
        </w:rPr>
        <w:t>234.01</w:t>
      </w:r>
      <w:r>
        <w:rPr>
          <w:rFonts w:hint="eastAsia" w:asciiTheme="minorEastAsia" w:hAnsiTheme="minorEastAsia" w:eastAsiaTheme="minorEastAsia"/>
          <w:sz w:val="32"/>
          <w:szCs w:val="32"/>
        </w:rPr>
        <w:t>万元，支出决算数为267.44万元，完成年初预算的116.58%，其中：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1、一般公共服务（201类）政府办公厅（室）及相关机构事务（03款）行政运行（01项）。</w:t>
      </w:r>
    </w:p>
    <w:p>
      <w:pPr>
        <w:pStyle w:val="9"/>
        <w:ind w:firstLine="800" w:firstLineChars="250"/>
        <w:rPr>
          <w:rFonts w:ascii="仿宋_GB2312" w:hAnsi="仿宋_GB2312" w:eastAsia="仿宋_GB2312" w:cs="仿宋_GB2312"/>
          <w:sz w:val="32"/>
          <w:szCs w:val="32"/>
        </w:rPr>
      </w:pPr>
      <w:r>
        <w:rPr>
          <w:rFonts w:hint="eastAsia" w:asciiTheme="minorEastAsia" w:hAnsiTheme="minorEastAsia" w:eastAsiaTheme="minorEastAsia"/>
          <w:sz w:val="32"/>
          <w:szCs w:val="32"/>
        </w:rPr>
        <w:t>年初预算为</w:t>
      </w:r>
      <w:r>
        <w:rPr>
          <w:rFonts w:hint="eastAsia" w:ascii="仿宋_GB2312" w:hAnsi="仿宋_GB2312" w:eastAsia="仿宋_GB2312" w:cs="仿宋_GB2312"/>
          <w:sz w:val="32"/>
          <w:szCs w:val="32"/>
        </w:rPr>
        <w:t>123.39</w:t>
      </w:r>
      <w:r>
        <w:rPr>
          <w:rFonts w:hint="eastAsia" w:asciiTheme="minorEastAsia" w:hAnsiTheme="minorEastAsia" w:eastAsiaTheme="minorEastAsia"/>
          <w:sz w:val="32"/>
          <w:szCs w:val="32"/>
        </w:rPr>
        <w:t>万元，支出决算为156.78万元，完成年初预算的127.06%，决算数大于（小于）年初预算数的主要原因是：</w:t>
      </w:r>
      <w:r>
        <w:rPr>
          <w:rFonts w:hint="eastAsia" w:ascii="仿宋_GB2312" w:hAnsi="仿宋_GB2312" w:eastAsia="仿宋_GB2312" w:cs="仿宋_GB2312"/>
          <w:sz w:val="32"/>
          <w:szCs w:val="32"/>
        </w:rPr>
        <w:t>统计口径不同。</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2、一般公共服务（201类）政府办公厅（室）及相关机构事务（03款）信访事务（08项）。</w:t>
      </w:r>
    </w:p>
    <w:p>
      <w:pPr>
        <w:pStyle w:val="9"/>
        <w:ind w:firstLine="800" w:firstLineChars="250"/>
        <w:rPr>
          <w:rFonts w:ascii="仿宋_GB2312" w:hAnsi="仿宋_GB2312" w:eastAsia="仿宋_GB2312" w:cs="仿宋_GB2312"/>
          <w:sz w:val="32"/>
          <w:szCs w:val="32"/>
        </w:rPr>
      </w:pPr>
      <w:r>
        <w:rPr>
          <w:rFonts w:hint="eastAsia" w:asciiTheme="minorEastAsia" w:hAnsiTheme="minorEastAsia" w:eastAsiaTheme="minorEastAsia"/>
          <w:sz w:val="32"/>
          <w:szCs w:val="32"/>
        </w:rPr>
        <w:t>年初预算为110.62万元，支出决算为110.66万元，完成年初预算的100.04%，决算数大于（小于）年初预算数的主要原因是：业务</w:t>
      </w:r>
      <w:r>
        <w:rPr>
          <w:rFonts w:hint="eastAsia" w:ascii="仿宋_GB2312" w:hAnsi="仿宋_GB2312" w:eastAsia="仿宋_GB2312" w:cs="仿宋_GB2312"/>
          <w:sz w:val="32"/>
          <w:szCs w:val="32"/>
        </w:rPr>
        <w:t>工作需要。</w:t>
      </w:r>
    </w:p>
    <w:p>
      <w:pPr>
        <w:pStyle w:val="9"/>
        <w:ind w:firstLine="640" w:firstLineChars="200"/>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156.78万元，其中：人员经费140.75万元，占基本支出的89.78%,主要包括基本工资、津贴补贴、奖金、伙食补助费等；公用经费16.03万元，占基本支出的10.22%，主要包括办公费、印刷费、咨询费、手续费等。</w:t>
      </w:r>
    </w:p>
    <w:p>
      <w:pPr>
        <w:pStyle w:val="9"/>
        <w:ind w:firstLine="627" w:firstLineChars="196"/>
        <w:rPr>
          <w:rFonts w:hAnsi="黑体"/>
          <w:b/>
          <w:sz w:val="32"/>
          <w:szCs w:val="32"/>
        </w:rPr>
      </w:pPr>
      <w:r>
        <w:rPr>
          <w:rFonts w:hint="eastAsia" w:hAnsi="黑体"/>
          <w:b/>
          <w:sz w:val="32"/>
          <w:szCs w:val="32"/>
        </w:rPr>
        <w:t>七、一般公共预算财政拨款三公经费支出决算情况说明</w:t>
      </w:r>
    </w:p>
    <w:p>
      <w:pPr>
        <w:pStyle w:val="9"/>
        <w:ind w:firstLine="627" w:firstLineChars="196"/>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“三公”经费财政拨款支出预算为1.1万元，支出决算为0.28万元，完成预算的39.29%，其中：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因公出国（境）费支出预算为0万元，支出决算为0万元，完成预算的0%，决算数与年初预算数金额一致，与上年相比无增减。</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1.1万元，支出决算为0.28万元，完成预算的39.29%，决算数小于年初预算数的主要原因是实际情况调整，与上年0.99万元决算数相比减少0.71万元，减少54%,减少的主要原因是厉行节约，减少三公经费支出。</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公务用车购置费及运行维护费支出预算为0万元，支出决算为0万元，完成预算的100%，决算数与年初预算数金额一</w:t>
      </w:r>
      <w:bookmarkStart w:id="0" w:name="_GoBack"/>
      <w:bookmarkEnd w:id="0"/>
      <w:r>
        <w:rPr>
          <w:rFonts w:hint="eastAsia" w:asciiTheme="minorEastAsia" w:hAnsiTheme="minorEastAsia" w:eastAsiaTheme="minorEastAsia"/>
          <w:sz w:val="32"/>
          <w:szCs w:val="32"/>
        </w:rPr>
        <w:t>致，与上年相比无增减。</w:t>
      </w:r>
    </w:p>
    <w:p>
      <w:pPr>
        <w:pStyle w:val="9"/>
        <w:ind w:firstLine="627" w:firstLineChars="196"/>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2019年度“三公”经费财政拨款支出决算中，公务接待费支出决算0.28万元，占100%,因公出国（境）费支出决算0万元，占0%,公务用车购置费及运行维护费支出决算0万元，占0%。其中：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2、公务接待费支出决算为0.28万元，全年共接待来访团组8个、来宾30人次，主要是业务工作交流发生的接待支出。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3、公务用车购置费及运行维护费支出决算为0万元，其中：公务用车购置费0万元，区信访局（单位本级或某二级机构）更新公务用车0辆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公务用车运行维护费0万元，截止2019年12月31日，我单位开支财政拨款的公务用车保有量为0辆。</w:t>
      </w:r>
    </w:p>
    <w:p>
      <w:pPr>
        <w:pStyle w:val="9"/>
        <w:ind w:firstLine="627" w:firstLineChars="196"/>
        <w:rPr>
          <w:rFonts w:hAnsi="黑体"/>
          <w:b/>
          <w:sz w:val="32"/>
          <w:szCs w:val="32"/>
        </w:rPr>
      </w:pPr>
      <w:r>
        <w:rPr>
          <w:rFonts w:hint="eastAsia" w:hAnsi="黑体"/>
          <w:b/>
          <w:sz w:val="32"/>
          <w:szCs w:val="32"/>
        </w:rPr>
        <w:t>八、政府性基金预算收入支出决算情况</w:t>
      </w:r>
    </w:p>
    <w:p>
      <w:pPr>
        <w:autoSpaceDE w:val="0"/>
        <w:autoSpaceDN w:val="0"/>
        <w:adjustRightInd w:val="0"/>
        <w:ind w:firstLine="640" w:firstLineChars="200"/>
        <w:jc w:val="left"/>
        <w:rPr>
          <w:rFonts w:ascii="宋体" w:hAnsi="宋体" w:eastAsia="宋体" w:cs="宋体"/>
          <w:kern w:val="0"/>
          <w:sz w:val="32"/>
          <w:szCs w:val="32"/>
          <w:lang w:val="zh-CN"/>
        </w:rPr>
      </w:pPr>
      <w:r>
        <w:rPr>
          <w:rFonts w:hint="eastAsia" w:ascii="宋体" w:hAnsi="宋体" w:eastAsia="宋体" w:cs="宋体"/>
          <w:color w:val="000000"/>
          <w:kern w:val="0"/>
          <w:sz w:val="32"/>
          <w:szCs w:val="32"/>
          <w:lang w:val="zh-CN"/>
        </w:rPr>
        <w:t>2019年度政府性基金预算财政拨款收入0万元；年初结转和结余0万元；支出0万元，其中基本支出0万元，项目支出0万元；年末结转和结余0万元。本单位无政府性基金收支</w:t>
      </w:r>
      <w:r>
        <w:rPr>
          <w:rFonts w:hint="eastAsia" w:ascii="宋体" w:hAnsi="宋体" w:eastAsia="宋体" w:cs="宋体"/>
          <w:kern w:val="0"/>
          <w:sz w:val="32"/>
          <w:szCs w:val="32"/>
          <w:lang w:val="zh-CN"/>
        </w:rPr>
        <w:t>。</w:t>
      </w:r>
    </w:p>
    <w:p>
      <w:pPr>
        <w:pStyle w:val="9"/>
        <w:rPr>
          <w:rFonts w:hAnsi="黑体"/>
          <w:b/>
          <w:sz w:val="32"/>
          <w:szCs w:val="32"/>
        </w:rPr>
      </w:pPr>
      <w:r>
        <w:rPr>
          <w:rFonts w:hint="eastAsia" w:hAnsi="黑体"/>
          <w:b/>
          <w:sz w:val="32"/>
          <w:szCs w:val="32"/>
        </w:rPr>
        <w:t>九、关于2019年度预算绩效情况说明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本部门预算绩效管理开展情况、绩效目标和绩效评价报告见附件</w:t>
      </w:r>
    </w:p>
    <w:p>
      <w:pPr>
        <w:pStyle w:val="9"/>
        <w:ind w:firstLine="627" w:firstLineChars="196"/>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本部门2019年度机关运行经费支出</w:t>
      </w:r>
      <w:r>
        <w:rPr>
          <w:rFonts w:hint="eastAsia" w:ascii="仿宋_GB2312" w:hAnsi="仿宋_GB2312" w:eastAsia="仿宋_GB2312" w:cs="仿宋_GB2312"/>
          <w:sz w:val="32"/>
        </w:rPr>
        <w:t>16.03</w:t>
      </w:r>
      <w:r>
        <w:rPr>
          <w:rFonts w:hint="eastAsia" w:cs="黑体" w:asciiTheme="minorEastAsia" w:hAnsiTheme="minorEastAsia"/>
          <w:kern w:val="0"/>
          <w:sz w:val="32"/>
          <w:szCs w:val="32"/>
        </w:rPr>
        <w:t>万元</w:t>
      </w:r>
      <w:r>
        <w:rPr>
          <w:rFonts w:hint="eastAsia" w:cs="黑体" w:asciiTheme="minorEastAsia" w:hAnsiTheme="minorEastAsia"/>
          <w:i/>
          <w:kern w:val="0"/>
          <w:sz w:val="32"/>
          <w:szCs w:val="32"/>
        </w:rPr>
        <w:t>，</w:t>
      </w:r>
      <w:r>
        <w:rPr>
          <w:rFonts w:hint="eastAsia" w:cs="黑体" w:asciiTheme="minorEastAsia" w:hAnsiTheme="minorEastAsia"/>
          <w:kern w:val="0"/>
          <w:sz w:val="32"/>
          <w:szCs w:val="32"/>
        </w:rPr>
        <w:t>比年初预算数9.852万元增加6.18万元，增长61%。主要原因是：实际业务工作需要</w:t>
      </w:r>
      <w:r>
        <w:rPr>
          <w:rFonts w:hint="eastAsia" w:cs="黑体" w:asciiTheme="minorEastAsia" w:hAnsiTheme="minorEastAsia"/>
          <w:i/>
          <w:kern w:val="0"/>
          <w:sz w:val="32"/>
          <w:szCs w:val="32"/>
        </w:rPr>
        <w:t>。</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2019年本部门开支会议费0万元；开支培训费0万元；举办节庆、晚会、论坛、赛事活动，开支0万元。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w:t>
      </w:r>
      <w:r>
        <w:rPr>
          <w:rFonts w:hint="eastAsia" w:cs="黑体" w:asciiTheme="minorEastAsia" w:hAnsiTheme="minorEastAsia"/>
          <w:i/>
          <w:color w:val="FF0000"/>
          <w:kern w:val="0"/>
          <w:sz w:val="32"/>
          <w:szCs w:val="32"/>
        </w:rPr>
        <w:t>。</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widowControl/>
        <w:spacing w:line="600" w:lineRule="exact"/>
        <w:rPr>
          <w:rFonts w:ascii="宋体" w:hAnsi="宋体" w:eastAsia="宋体" w:cs="宋体"/>
          <w:b/>
          <w:sz w:val="32"/>
          <w:szCs w:val="32"/>
        </w:rPr>
      </w:pPr>
      <w:r>
        <w:rPr>
          <w:rFonts w:hint="eastAsia" w:ascii="宋体" w:hAnsi="宋体" w:eastAsia="宋体" w:cs="宋体"/>
          <w:b/>
          <w:kern w:val="0"/>
          <w:sz w:val="32"/>
          <w:szCs w:val="32"/>
        </w:rPr>
        <w:t>第四部分  名词解释</w:t>
      </w:r>
    </w:p>
    <w:p>
      <w:pPr>
        <w:spacing w:line="600" w:lineRule="exact"/>
        <w:ind w:firstLine="640" w:firstLineChars="200"/>
        <w:rPr>
          <w:rFonts w:ascii="宋体" w:hAnsi="宋体" w:eastAsia="宋体" w:cs="宋体"/>
          <w:kern w:val="0"/>
          <w:sz w:val="32"/>
          <w:szCs w:val="32"/>
        </w:rPr>
      </w:pPr>
      <w:r>
        <w:rPr>
          <w:rFonts w:hint="eastAsia" w:ascii="宋体" w:hAnsi="宋体" w:eastAsia="宋体" w:cs="宋体"/>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ascii="宋体" w:hAnsi="宋体" w:eastAsia="宋体" w:cs="宋体"/>
          <w:kern w:val="0"/>
          <w:sz w:val="32"/>
          <w:szCs w:val="32"/>
        </w:rPr>
      </w:pPr>
      <w:r>
        <w:rPr>
          <w:rFonts w:hint="eastAsia" w:ascii="宋体" w:hAnsi="宋体" w:eastAsia="宋体" w:cs="宋体"/>
          <w:kern w:val="0"/>
          <w:sz w:val="32"/>
          <w:szCs w:val="32"/>
        </w:rPr>
        <w:t>二、“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spacing w:line="600" w:lineRule="exact"/>
        <w:ind w:firstLine="640" w:firstLineChars="200"/>
        <w:rPr>
          <w:rFonts w:ascii="宋体" w:hAnsi="宋体" w:eastAsia="宋体" w:cs="宋体"/>
          <w:kern w:val="0"/>
          <w:sz w:val="32"/>
          <w:szCs w:val="32"/>
        </w:rPr>
      </w:pPr>
    </w:p>
    <w:p>
      <w:pPr>
        <w:widowControl/>
        <w:spacing w:line="600" w:lineRule="exact"/>
        <w:rPr>
          <w:rFonts w:ascii="Times New Roman" w:hAnsi="Times New Roman" w:eastAsia="黑体" w:cs="Times New Roman"/>
          <w:bCs/>
          <w:kern w:val="0"/>
          <w:sz w:val="32"/>
          <w:szCs w:val="32"/>
        </w:rPr>
      </w:pPr>
    </w:p>
    <w:p>
      <w:pPr>
        <w:pStyle w:val="9"/>
        <w:rPr>
          <w:sz w:val="32"/>
          <w:szCs w:val="32"/>
        </w:rPr>
      </w:pPr>
      <w:r>
        <w:rPr>
          <w:rFonts w:hint="eastAsia"/>
          <w:sz w:val="32"/>
          <w:szCs w:val="32"/>
        </w:rPr>
        <w:t>第五部分</w:t>
      </w:r>
    </w:p>
    <w:p>
      <w:pPr>
        <w:rPr>
          <w:rFonts w:ascii="黑体" w:eastAsia="黑体" w:cs="黑体"/>
          <w:color w:val="000000"/>
          <w:kern w:val="0"/>
          <w:sz w:val="32"/>
          <w:szCs w:val="32"/>
        </w:rPr>
      </w:pPr>
      <w:r>
        <w:rPr>
          <w:rFonts w:hint="eastAsia" w:ascii="黑体" w:eastAsia="黑体" w:cs="黑体"/>
          <w:color w:val="000000"/>
          <w:kern w:val="0"/>
          <w:sz w:val="32"/>
          <w:szCs w:val="32"/>
        </w:rPr>
        <w:t>附件</w:t>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left"/>
        <w:rPr>
          <w:rFonts w:cs="黑体" w:asciiTheme="minorEastAsia" w:hAnsiTheme="minorEastAsia"/>
          <w:color w:val="000000"/>
          <w:kern w:val="0"/>
          <w:sz w:val="32"/>
          <w:szCs w:val="32"/>
        </w:rPr>
      </w:pPr>
    </w:p>
    <w:p>
      <w:pPr>
        <w:ind w:firstLine="640" w:firstLineChars="200"/>
        <w:rPr>
          <w:rFonts w:ascii="仿宋_GB2312" w:eastAsia="仿宋_GB2312"/>
          <w:sz w:val="32"/>
          <w:szCs w:val="32"/>
        </w:rPr>
      </w:pPr>
      <w:r>
        <w:rPr>
          <w:rFonts w:hint="eastAsia" w:ascii="仿宋_GB2312" w:eastAsia="仿宋_GB2312"/>
          <w:sz w:val="32"/>
          <w:szCs w:val="32"/>
        </w:rPr>
        <w:t>根据上级部门要求，区信访局对2019年度部门整体支出进行了绩效自评。现报告如下：</w:t>
      </w:r>
    </w:p>
    <w:p>
      <w:pPr>
        <w:ind w:firstLine="640" w:firstLineChars="200"/>
        <w:rPr>
          <w:rFonts w:ascii="黑体" w:hAnsi="黑体" w:eastAsia="黑体"/>
          <w:sz w:val="32"/>
          <w:szCs w:val="32"/>
        </w:rPr>
      </w:pPr>
      <w:r>
        <w:rPr>
          <w:rFonts w:hint="eastAsia" w:ascii="黑体" w:hAnsi="黑体" w:eastAsia="黑体"/>
          <w:sz w:val="32"/>
          <w:szCs w:val="32"/>
        </w:rPr>
        <w:t>一、部门概况</w:t>
      </w:r>
    </w:p>
    <w:p>
      <w:pPr>
        <w:ind w:firstLine="640" w:firstLineChars="200"/>
        <w:rPr>
          <w:rFonts w:ascii="仿宋_GB2312" w:eastAsia="仿宋_GB2312"/>
          <w:sz w:val="32"/>
          <w:szCs w:val="32"/>
        </w:rPr>
      </w:pPr>
      <w:r>
        <w:rPr>
          <w:rFonts w:hint="eastAsia" w:ascii="仿宋_GB2312" w:eastAsia="仿宋_GB2312"/>
          <w:sz w:val="32"/>
          <w:szCs w:val="32"/>
        </w:rPr>
        <w:t>（一）单位机构、人员情况</w:t>
      </w:r>
    </w:p>
    <w:p>
      <w:pPr>
        <w:ind w:firstLine="640" w:firstLineChars="200"/>
        <w:rPr>
          <w:rFonts w:ascii="仿宋_GB2312" w:eastAsia="仿宋_GB2312"/>
          <w:sz w:val="32"/>
          <w:szCs w:val="32"/>
        </w:rPr>
      </w:pPr>
      <w:r>
        <w:rPr>
          <w:rFonts w:hint="eastAsia" w:ascii="仿宋_GB2312" w:eastAsia="仿宋_GB2312"/>
          <w:sz w:val="32"/>
          <w:szCs w:val="32"/>
        </w:rPr>
        <w:t>本单位共有职工13人，包括1名书记，1名局长，2名副局长，1名主任科员，8名工作人员，下设2个业务股室。</w:t>
      </w:r>
    </w:p>
    <w:p>
      <w:pPr>
        <w:ind w:firstLine="640" w:firstLineChars="200"/>
        <w:rPr>
          <w:rFonts w:ascii="仿宋_GB2312" w:eastAsia="仿宋_GB2312"/>
          <w:sz w:val="32"/>
          <w:szCs w:val="32"/>
        </w:rPr>
      </w:pPr>
      <w:r>
        <w:rPr>
          <w:rFonts w:hint="eastAsia" w:ascii="仿宋_GB2312" w:eastAsia="仿宋_GB2312"/>
          <w:sz w:val="32"/>
          <w:szCs w:val="32"/>
        </w:rPr>
        <w:t>（二）信访局的主要职责</w:t>
      </w:r>
    </w:p>
    <w:p>
      <w:pPr>
        <w:ind w:firstLine="640" w:firstLineChars="200"/>
        <w:rPr>
          <w:rFonts w:ascii="仿宋_GB2312" w:eastAsia="仿宋_GB2312"/>
          <w:sz w:val="32"/>
          <w:szCs w:val="32"/>
        </w:rPr>
      </w:pPr>
      <w:r>
        <w:rPr>
          <w:rFonts w:hint="eastAsia" w:ascii="仿宋_GB2312" w:eastAsia="仿宋_GB2312"/>
          <w:sz w:val="32"/>
          <w:szCs w:val="32"/>
        </w:rPr>
        <w:t xml:space="preserve">根据规定，本部门（单位）主要工作职责是：1、负责处理上级领导机关统转信件，接待人民群众来信来访；2、向乡镇、街道和区直部门交办信访事项，督促检查交办事项的处理落实情况；3、综合反映信访情况，提供信访信息，为区委、区政府决策和指导工作服务；4、协同有关部门处理跨乡镇、跨部门的重大信访问题，协调处理群众越级上访和异常突发性信访事项；5、掌握全区信访工作动态，对信访工作中失职、渎职行为提出处理建议，组织信访干部的培训；6、承办区委、区政府交办的其他事项。 </w:t>
      </w:r>
    </w:p>
    <w:p>
      <w:pPr>
        <w:ind w:firstLine="640" w:firstLineChars="200"/>
        <w:rPr>
          <w:rFonts w:ascii="黑体" w:hAnsi="黑体" w:eastAsia="黑体"/>
          <w:sz w:val="32"/>
          <w:szCs w:val="32"/>
        </w:rPr>
      </w:pPr>
      <w:r>
        <w:rPr>
          <w:rFonts w:hint="eastAsia" w:ascii="黑体" w:hAnsi="黑体" w:eastAsia="黑体"/>
          <w:sz w:val="32"/>
          <w:szCs w:val="32"/>
        </w:rPr>
        <w:t>二、收入决算</w:t>
      </w:r>
    </w:p>
    <w:p>
      <w:pPr>
        <w:ind w:firstLine="640" w:firstLineChars="200"/>
        <w:rPr>
          <w:rFonts w:ascii="黑体" w:hAnsi="黑体" w:eastAsia="黑体"/>
          <w:sz w:val="32"/>
          <w:szCs w:val="32"/>
        </w:rPr>
      </w:pPr>
      <w:r>
        <w:rPr>
          <w:rFonts w:hint="eastAsia" w:ascii="仿宋_GB2312" w:hAnsi="仿宋_GB2312" w:eastAsia="仿宋_GB2312" w:cs="仿宋_GB2312"/>
          <w:sz w:val="32"/>
          <w:szCs w:val="32"/>
        </w:rPr>
        <w:t>鹤城区信访局2019年度决算收入合计282.7万元，其中，</w:t>
      </w:r>
      <w:r>
        <w:rPr>
          <w:rFonts w:hint="eastAsia" w:ascii="仿宋_GB2312" w:eastAsia="仿宋_GB2312"/>
          <w:sz w:val="32"/>
          <w:szCs w:val="32"/>
        </w:rPr>
        <w:t>一般公共预算财政拨款</w:t>
      </w:r>
      <w:r>
        <w:rPr>
          <w:rFonts w:hint="eastAsia" w:ascii="仿宋_GB2312" w:hAnsi="仿宋_GB2312" w:eastAsia="仿宋_GB2312" w:cs="仿宋_GB2312"/>
          <w:sz w:val="32"/>
          <w:szCs w:val="32"/>
        </w:rPr>
        <w:t>收入271.05万元，上</w:t>
      </w:r>
      <w:r>
        <w:rPr>
          <w:rFonts w:hint="eastAsia" w:ascii="仿宋" w:hAnsi="仿宋" w:eastAsia="仿宋"/>
          <w:sz w:val="32"/>
          <w:szCs w:val="32"/>
        </w:rPr>
        <w:t>年结余0万元，</w:t>
      </w:r>
      <w:r>
        <w:rPr>
          <w:rFonts w:hint="eastAsia" w:ascii="仿宋_GB2312" w:hAnsi="仿宋_GB2312" w:eastAsia="仿宋_GB2312" w:cs="仿宋_GB2312"/>
          <w:sz w:val="32"/>
          <w:szCs w:val="32"/>
        </w:rPr>
        <w:t>其他收入11.66万元</w:t>
      </w:r>
      <w:r>
        <w:rPr>
          <w:rFonts w:hint="eastAsia" w:ascii="仿宋" w:hAnsi="仿宋" w:eastAsia="仿宋"/>
          <w:sz w:val="32"/>
          <w:szCs w:val="32"/>
        </w:rPr>
        <w:t>。</w:t>
      </w:r>
    </w:p>
    <w:p>
      <w:pPr>
        <w:ind w:firstLine="640" w:firstLineChars="200"/>
        <w:rPr>
          <w:rFonts w:ascii="黑体" w:hAnsi="黑体" w:eastAsia="黑体"/>
          <w:sz w:val="32"/>
          <w:szCs w:val="32"/>
        </w:rPr>
      </w:pPr>
      <w:r>
        <w:rPr>
          <w:rFonts w:hint="eastAsia" w:ascii="黑体" w:hAnsi="黑体" w:eastAsia="黑体"/>
          <w:sz w:val="32"/>
          <w:szCs w:val="32"/>
        </w:rPr>
        <w:t>三、支出决算</w:t>
      </w:r>
    </w:p>
    <w:p>
      <w:pPr>
        <w:ind w:firstLine="640" w:firstLineChars="200"/>
        <w:rPr>
          <w:rFonts w:ascii="仿宋_GB2312" w:eastAsia="仿宋_GB2312"/>
          <w:sz w:val="32"/>
          <w:szCs w:val="32"/>
        </w:rPr>
      </w:pPr>
      <w:r>
        <w:rPr>
          <w:rFonts w:hint="eastAsia" w:ascii="仿宋_GB2312" w:eastAsia="仿宋_GB2312"/>
          <w:sz w:val="32"/>
          <w:szCs w:val="32"/>
        </w:rPr>
        <w:t>鹤城区信访局2019年度决算支出合计</w:t>
      </w:r>
      <w:r>
        <w:rPr>
          <w:rFonts w:hint="eastAsia" w:ascii="仿宋_GB2312" w:hAnsi="仿宋_GB2312" w:eastAsia="仿宋_GB2312" w:cs="仿宋_GB2312"/>
          <w:sz w:val="32"/>
          <w:szCs w:val="32"/>
        </w:rPr>
        <w:t>282.7</w:t>
      </w:r>
      <w:r>
        <w:rPr>
          <w:rFonts w:hint="eastAsia" w:ascii="仿宋_GB2312" w:eastAsia="仿宋_GB2312"/>
          <w:sz w:val="32"/>
          <w:szCs w:val="32"/>
        </w:rPr>
        <w:t>万元，其中，一般公共服务支出279.1万元；年末财政拨款结转和结余3.61万元。</w:t>
      </w:r>
    </w:p>
    <w:p>
      <w:pPr>
        <w:ind w:firstLine="640" w:firstLineChars="200"/>
        <w:rPr>
          <w:rFonts w:ascii="黑体" w:hAnsi="黑体" w:eastAsia="黑体"/>
          <w:sz w:val="32"/>
          <w:szCs w:val="32"/>
        </w:rPr>
      </w:pPr>
      <w:r>
        <w:rPr>
          <w:rFonts w:hint="eastAsia" w:ascii="黑体" w:hAnsi="黑体" w:eastAsia="黑体"/>
          <w:sz w:val="32"/>
          <w:szCs w:val="32"/>
        </w:rPr>
        <w:t>四、整体支出绩效目标</w:t>
      </w:r>
    </w:p>
    <w:p>
      <w:pPr>
        <w:ind w:firstLine="640" w:firstLineChars="200"/>
        <w:rPr>
          <w:rFonts w:ascii="仿宋_GB2312" w:eastAsia="仿宋_GB2312"/>
          <w:b/>
          <w:sz w:val="32"/>
          <w:szCs w:val="32"/>
        </w:rPr>
      </w:pPr>
      <w:r>
        <w:rPr>
          <w:rFonts w:hint="eastAsia" w:ascii="仿宋_GB2312" w:eastAsia="仿宋_GB2312"/>
          <w:b/>
          <w:sz w:val="32"/>
          <w:szCs w:val="32"/>
        </w:rPr>
        <w:t>（一）共性目标分析</w:t>
      </w:r>
    </w:p>
    <w:p>
      <w:pPr>
        <w:ind w:firstLine="640" w:firstLineChars="200"/>
        <w:rPr>
          <w:rFonts w:ascii="仿宋_GB2312" w:eastAsia="仿宋_GB2312"/>
          <w:sz w:val="32"/>
          <w:szCs w:val="32"/>
        </w:rPr>
      </w:pPr>
      <w:r>
        <w:rPr>
          <w:rFonts w:hint="eastAsia" w:ascii="仿宋_GB2312" w:eastAsia="仿宋_GB2312"/>
          <w:sz w:val="32"/>
          <w:szCs w:val="32"/>
        </w:rPr>
        <w:t>1、预决算公开：2019年，按照上级的要求，我局在网站上进行了预决算公开。</w:t>
      </w:r>
    </w:p>
    <w:p>
      <w:pPr>
        <w:ind w:firstLine="640" w:firstLineChars="200"/>
        <w:rPr>
          <w:rFonts w:ascii="仿宋_GB2312" w:eastAsia="仿宋_GB2312"/>
          <w:sz w:val="32"/>
          <w:szCs w:val="32"/>
        </w:rPr>
      </w:pPr>
      <w:r>
        <w:rPr>
          <w:rFonts w:hint="eastAsia" w:ascii="仿宋_GB2312" w:eastAsia="仿宋_GB2312"/>
          <w:sz w:val="32"/>
          <w:szCs w:val="32"/>
        </w:rPr>
        <w:t>2、资产管理：根据《怀化市鹤城区行政、企事业单位国有资产清查工作的通知》，组织局机关及局属各部门进行全面的资产清查，并就清查中发现的问题进行全面整改，确保各项资产核算准确、帐实相符、管理到位。</w:t>
      </w:r>
    </w:p>
    <w:p>
      <w:pPr>
        <w:ind w:firstLine="640" w:firstLineChars="200"/>
        <w:rPr>
          <w:rFonts w:ascii="仿宋_GB2312" w:eastAsia="仿宋_GB2312"/>
          <w:sz w:val="32"/>
          <w:szCs w:val="32"/>
        </w:rPr>
      </w:pPr>
      <w:r>
        <w:rPr>
          <w:rFonts w:hint="eastAsia" w:ascii="仿宋_GB2312" w:eastAsia="仿宋_GB2312"/>
          <w:sz w:val="32"/>
          <w:szCs w:val="32"/>
        </w:rPr>
        <w:t>3、“三公经费”控制情况：贯彻落实上级有关精神，加强了“三公”经费预算编制和执行管理，严格控制“三公经费”支出，2019年，我局“三公经费”仅为0.28万元，其中公务接待费0.28万元、公务用车购置及运行费0万元，全年无因公出国出境情况发生，取得了良好效果。</w:t>
      </w:r>
    </w:p>
    <w:p>
      <w:pPr>
        <w:ind w:firstLine="640" w:firstLineChars="200"/>
        <w:rPr>
          <w:rFonts w:ascii="仿宋_GB2312" w:eastAsia="仿宋_GB2312"/>
          <w:sz w:val="32"/>
          <w:szCs w:val="32"/>
        </w:rPr>
      </w:pPr>
      <w:r>
        <w:rPr>
          <w:rFonts w:hint="eastAsia" w:ascii="仿宋_GB2312" w:eastAsia="仿宋_GB2312"/>
          <w:sz w:val="32"/>
          <w:szCs w:val="32"/>
        </w:rPr>
        <w:t>4、内部管理制度建设情况：近年来，我局制定、完善了《鹤城区信访局财务管理制度》、《鹤城区信访局内控管理制度》等一系列内部制度。</w:t>
      </w:r>
    </w:p>
    <w:p>
      <w:pPr>
        <w:ind w:firstLine="640" w:firstLineChars="200"/>
        <w:rPr>
          <w:rFonts w:ascii="仿宋_GB2312" w:eastAsia="仿宋_GB2312"/>
          <w:sz w:val="32"/>
          <w:szCs w:val="32"/>
        </w:rPr>
      </w:pPr>
      <w:r>
        <w:rPr>
          <w:rFonts w:hint="eastAsia" w:ascii="仿宋_GB2312" w:eastAsia="仿宋_GB2312"/>
          <w:sz w:val="32"/>
          <w:szCs w:val="32"/>
        </w:rPr>
        <w:t>5、项目支出使用管理情况</w:t>
      </w:r>
    </w:p>
    <w:p>
      <w:pPr>
        <w:ind w:firstLine="640" w:firstLineChars="200"/>
        <w:rPr>
          <w:rFonts w:ascii="仿宋_GB2312" w:eastAsia="仿宋_GB2312"/>
          <w:sz w:val="32"/>
          <w:szCs w:val="32"/>
        </w:rPr>
      </w:pPr>
      <w:r>
        <w:rPr>
          <w:rFonts w:hint="eastAsia" w:ascii="仿宋_GB2312" w:eastAsia="仿宋_GB2312"/>
          <w:sz w:val="32"/>
          <w:szCs w:val="32"/>
        </w:rPr>
        <w:t>2019年，区信访局通过“信访救助专项”资金适当解决信访案件当事人的实际生活困难，促进社会和谐，维护社会稳定。全年共落实信访救助专项资金20万元，通过实施该项目，适当救助经济较困难信访案件当事人18人，化解信访案件20余件。同时，该系统设立“接访劝访专项”，用于接待到市上访群众，劝访赴省进京群众，全年共落实“接访劝访专项”资金50万元，通过实施该项目，2019年信访形势呈现出到赴省进京上访“三下降”的良好局面。</w:t>
      </w:r>
    </w:p>
    <w:p>
      <w:pPr>
        <w:ind w:firstLine="640" w:firstLineChars="200"/>
        <w:rPr>
          <w:rFonts w:ascii="仿宋_GB2312" w:eastAsia="仿宋_GB2312"/>
          <w:b/>
          <w:sz w:val="32"/>
          <w:szCs w:val="32"/>
        </w:rPr>
      </w:pPr>
      <w:r>
        <w:rPr>
          <w:rFonts w:hint="eastAsia" w:ascii="仿宋_GB2312" w:eastAsia="仿宋_GB2312"/>
          <w:b/>
          <w:sz w:val="32"/>
          <w:szCs w:val="32"/>
        </w:rPr>
        <w:t>（二）个性目标分析</w:t>
      </w:r>
    </w:p>
    <w:p>
      <w:pPr>
        <w:ind w:firstLine="640" w:firstLineChars="200"/>
        <w:rPr>
          <w:rFonts w:ascii="仿宋_GB2312" w:eastAsia="仿宋_GB2312"/>
          <w:sz w:val="32"/>
          <w:szCs w:val="32"/>
        </w:rPr>
      </w:pPr>
      <w:r>
        <w:rPr>
          <w:rFonts w:hint="eastAsia" w:ascii="仿宋_GB2312" w:eastAsia="仿宋_GB2312"/>
          <w:sz w:val="32"/>
          <w:szCs w:val="32"/>
        </w:rPr>
        <w:t>1、有效化解信访积案。对重大疑难复杂信访问题，坚持实行领导包案，建立第三方力量参与信访工作机制。在区直单位、乡镇街道推行联合接访，全面启动涉法涉诉接访中心；建立重点人员台账，加强督办；实施进京非访点对点月通报制度；建立领导干部接访下访制度，深入开展区领导值班轮流坐访。</w:t>
      </w:r>
    </w:p>
    <w:p>
      <w:pPr>
        <w:ind w:firstLine="640" w:firstLineChars="200"/>
        <w:rPr>
          <w:rFonts w:ascii="仿宋_GB2312" w:eastAsia="仿宋_GB2312"/>
          <w:sz w:val="32"/>
          <w:szCs w:val="32"/>
        </w:rPr>
      </w:pPr>
      <w:r>
        <w:rPr>
          <w:rFonts w:hint="eastAsia" w:ascii="仿宋_GB2312" w:eastAsia="仿宋_GB2312"/>
          <w:sz w:val="32"/>
          <w:szCs w:val="32"/>
        </w:rPr>
        <w:t>2、加强信访信息化建设。继续大力推进网上信访平台，组织相关人员开展网上信访工作业务培训，组织专干按月对网上信访工作开展情况进行考核、通报，按季度进行分析、总结。</w:t>
      </w:r>
    </w:p>
    <w:p>
      <w:pPr>
        <w:ind w:firstLine="640" w:firstLineChars="200"/>
        <w:rPr>
          <w:rFonts w:ascii="仿宋_GB2312" w:eastAsia="仿宋_GB2312"/>
          <w:sz w:val="32"/>
          <w:szCs w:val="32"/>
        </w:rPr>
      </w:pPr>
      <w:r>
        <w:rPr>
          <w:rFonts w:hint="eastAsia" w:ascii="仿宋_GB2312" w:eastAsia="仿宋_GB2312"/>
          <w:sz w:val="32"/>
          <w:szCs w:val="32"/>
        </w:rPr>
        <w:t>3、开展依法行政。认真落实规范性文件审查的有关规定，有效杜绝与党的路线、方针、政策和法律法规相悖的情形，杜绝失泄密事件发生；按照规定时限及要求公开相关信息、回应公众意见建议；未发生因行政行为造成的重大损失或恶劣影响的情形。</w:t>
      </w:r>
    </w:p>
    <w:p>
      <w:pPr>
        <w:ind w:firstLine="640" w:firstLineChars="200"/>
        <w:rPr>
          <w:rFonts w:ascii="黑体" w:hAnsi="黑体" w:eastAsia="黑体"/>
          <w:sz w:val="32"/>
          <w:szCs w:val="32"/>
        </w:rPr>
      </w:pPr>
      <w:r>
        <w:rPr>
          <w:rFonts w:hint="eastAsia" w:ascii="黑体" w:hAnsi="黑体" w:eastAsia="黑体"/>
          <w:sz w:val="32"/>
          <w:szCs w:val="32"/>
        </w:rPr>
        <w:t>五、部门整体支出情况分析</w:t>
      </w:r>
    </w:p>
    <w:p>
      <w:pPr>
        <w:ind w:firstLine="640" w:firstLineChars="200"/>
        <w:rPr>
          <w:rFonts w:ascii="仿宋_GB2312" w:eastAsia="仿宋_GB2312"/>
          <w:sz w:val="32"/>
          <w:szCs w:val="32"/>
        </w:rPr>
      </w:pPr>
      <w:r>
        <w:rPr>
          <w:rFonts w:hint="eastAsia" w:ascii="仿宋_GB2312" w:eastAsia="仿宋_GB2312"/>
          <w:sz w:val="32"/>
          <w:szCs w:val="32"/>
        </w:rPr>
        <w:t>从整体情况来看，我局严格按照年初预算进行部门整体支出。在支出过程中，能严格遵守各项规章制度，“三公经费”明显下降。所有项目都详细制定了方案，严格按方案组织实施，并加强了监督。尤其是在专项经费支出上，我们能专款专用，按项目实施计划的进度情况进行资金拨付，无截留、无挪用等现象。实行了先有预算、后有执行、“用钱必问效、无效必问责”的新常态。</w:t>
      </w:r>
    </w:p>
    <w:p>
      <w:pPr>
        <w:ind w:firstLine="640" w:firstLineChars="200"/>
        <w:rPr>
          <w:rFonts w:ascii="黑体" w:hAnsi="黑体" w:eastAsia="黑体"/>
          <w:sz w:val="32"/>
          <w:szCs w:val="32"/>
        </w:rPr>
      </w:pPr>
      <w:r>
        <w:rPr>
          <w:rFonts w:hint="eastAsia" w:ascii="黑体" w:hAnsi="黑体" w:eastAsia="黑体"/>
          <w:sz w:val="32"/>
          <w:szCs w:val="32"/>
        </w:rPr>
        <w:t>六、绩效评价工作情况</w:t>
      </w:r>
    </w:p>
    <w:p>
      <w:pPr>
        <w:ind w:firstLine="640" w:firstLineChars="200"/>
        <w:rPr>
          <w:rFonts w:ascii="仿宋_GB2312" w:eastAsia="仿宋_GB2312"/>
          <w:sz w:val="32"/>
          <w:szCs w:val="32"/>
        </w:rPr>
      </w:pPr>
      <w:r>
        <w:rPr>
          <w:rFonts w:hint="eastAsia" w:ascii="仿宋_GB2312" w:eastAsia="仿宋_GB2312"/>
          <w:sz w:val="32"/>
          <w:szCs w:val="32"/>
        </w:rPr>
        <w:t>（一）绩效评价目的</w:t>
      </w:r>
    </w:p>
    <w:p>
      <w:pPr>
        <w:ind w:firstLine="640" w:firstLineChars="200"/>
        <w:rPr>
          <w:rFonts w:ascii="仿宋_GB2312" w:eastAsia="仿宋_GB2312"/>
          <w:sz w:val="32"/>
          <w:szCs w:val="32"/>
        </w:rPr>
      </w:pPr>
      <w:r>
        <w:rPr>
          <w:rFonts w:hint="eastAsia" w:ascii="仿宋_GB2312" w:eastAsia="仿宋_GB2312"/>
          <w:sz w:val="32"/>
          <w:szCs w:val="32"/>
        </w:rPr>
        <w:t>此次绩效评价的目的是：严格落实《预算法》及区绩效管理工作的有关规定，进一步规范财政资金的管理，强化财政支出绩效理念，提升部门责任意识，提高资金使用效益，促进局各项工作全面开展。</w:t>
      </w:r>
    </w:p>
    <w:p>
      <w:pPr>
        <w:ind w:firstLine="640" w:firstLineChars="200"/>
        <w:rPr>
          <w:rFonts w:ascii="仿宋_GB2312" w:eastAsia="仿宋_GB2312"/>
          <w:sz w:val="32"/>
          <w:szCs w:val="32"/>
        </w:rPr>
      </w:pPr>
      <w:r>
        <w:rPr>
          <w:rFonts w:hint="eastAsia" w:ascii="仿宋_GB2312" w:eastAsia="仿宋_GB2312"/>
          <w:sz w:val="32"/>
          <w:szCs w:val="32"/>
        </w:rPr>
        <w:t>（二）绩效评价的主要过程</w:t>
      </w:r>
    </w:p>
    <w:p>
      <w:pPr>
        <w:ind w:firstLine="640" w:firstLineChars="200"/>
        <w:rPr>
          <w:rFonts w:ascii="仿宋_GB2312" w:eastAsia="仿宋_GB2312"/>
          <w:sz w:val="32"/>
          <w:szCs w:val="32"/>
        </w:rPr>
      </w:pPr>
      <w:r>
        <w:rPr>
          <w:rFonts w:hint="eastAsia" w:ascii="仿宋_GB2312" w:eastAsia="仿宋_GB2312"/>
          <w:sz w:val="32"/>
          <w:szCs w:val="32"/>
        </w:rPr>
        <w:t>根据绩效评价的要求，我们成立了自评工作领导小组，对照自评方案进行研究和布署，党组成员、局属各部门及机关各股室全程参与，按照自评方案的要求，对照各实施项目的内容逐条逐项自评。在自评过程发现问题，查找原因，及时纠正偏差，为下一步工作夯实基础。</w:t>
      </w:r>
    </w:p>
    <w:p>
      <w:pPr>
        <w:ind w:firstLine="640" w:firstLineChars="200"/>
        <w:rPr>
          <w:rFonts w:ascii="黑体" w:hAnsi="黑体" w:eastAsia="黑体"/>
          <w:sz w:val="32"/>
          <w:szCs w:val="32"/>
        </w:rPr>
      </w:pPr>
      <w:r>
        <w:rPr>
          <w:rFonts w:hint="eastAsia" w:ascii="黑体" w:hAnsi="黑体" w:eastAsia="黑体"/>
          <w:sz w:val="32"/>
          <w:szCs w:val="32"/>
        </w:rPr>
        <w:t>七、主要绩效及评价结论</w:t>
      </w:r>
    </w:p>
    <w:p>
      <w:pPr>
        <w:ind w:firstLine="640" w:firstLineChars="200"/>
        <w:rPr>
          <w:rFonts w:ascii="仿宋_GB2312" w:eastAsia="仿宋_GB2312"/>
          <w:sz w:val="32"/>
          <w:szCs w:val="32"/>
        </w:rPr>
      </w:pPr>
      <w:r>
        <w:rPr>
          <w:rFonts w:hint="eastAsia" w:ascii="仿宋_GB2312" w:eastAsia="仿宋_GB2312"/>
          <w:sz w:val="32"/>
          <w:szCs w:val="32"/>
        </w:rPr>
        <w:t>根据部门整体支出绩效评价指标体系和绩效检查情况，区信访局绩效评价指标总分值100分，实得86分，被评为“良好”等级。该系统主要绩效如下：</w:t>
      </w:r>
    </w:p>
    <w:p>
      <w:pPr>
        <w:ind w:firstLine="640" w:firstLineChars="200"/>
        <w:rPr>
          <w:rFonts w:ascii="仿宋_GB2312" w:eastAsia="仿宋_GB2312"/>
          <w:sz w:val="32"/>
          <w:szCs w:val="32"/>
        </w:rPr>
      </w:pPr>
      <w:r>
        <w:rPr>
          <w:rFonts w:hint="eastAsia" w:ascii="仿宋_GB2312" w:eastAsia="仿宋_GB2312"/>
          <w:sz w:val="32"/>
          <w:szCs w:val="32"/>
        </w:rPr>
        <w:t>（一）基本履职到位。2019年，区信访局运用法治思维和法治方式，推进信访制度改革，下大力夯实基层基础，下功夫化解信访积案，下猛药治理进京非访，下决心规范信访秩序，全区信访形势整体平稳可控，呈现出到市赴省进京上访“三下降”的较好局面，全面完成了市里下达的年度信访工作目标管理考核任务。</w:t>
      </w:r>
    </w:p>
    <w:p>
      <w:pPr>
        <w:ind w:firstLine="640" w:firstLineChars="200"/>
        <w:rPr>
          <w:rFonts w:ascii="仿宋_GB2312" w:eastAsia="仿宋_GB2312"/>
          <w:sz w:val="32"/>
          <w:szCs w:val="32"/>
        </w:rPr>
      </w:pPr>
      <w:r>
        <w:rPr>
          <w:rFonts w:hint="eastAsia" w:ascii="仿宋_GB2312" w:eastAsia="仿宋_GB2312"/>
          <w:sz w:val="32"/>
          <w:szCs w:val="32"/>
        </w:rPr>
        <w:t>（二）加强制度建设。区信访局制定完善并组织实施了一系列规章制度。一是在强化政治建设方面，制定了党组会议、民主生活会、党组中心组学习等各项工作规章制度。二是强化资金资产管理方面，制定了资产管理、财务报销、解决特殊疑难信访问题专项资金使用管理暂行办法等制度，充分体现了用制度管人、管事的工作理念，取得了一定的管理成效。</w:t>
      </w:r>
    </w:p>
    <w:p>
      <w:pPr>
        <w:ind w:firstLine="640" w:firstLineChars="200"/>
        <w:rPr>
          <w:rFonts w:ascii="黑体" w:hAnsi="黑体" w:eastAsia="黑体"/>
          <w:sz w:val="32"/>
          <w:szCs w:val="32"/>
        </w:rPr>
      </w:pPr>
      <w:r>
        <w:rPr>
          <w:rFonts w:hint="eastAsia" w:ascii="黑体" w:hAnsi="黑体" w:eastAsia="黑体"/>
          <w:sz w:val="32"/>
          <w:szCs w:val="32"/>
        </w:rPr>
        <w:t>八、存在的主要问题</w:t>
      </w:r>
    </w:p>
    <w:p>
      <w:pPr>
        <w:ind w:firstLine="640" w:firstLineChars="200"/>
        <w:rPr>
          <w:rFonts w:ascii="仿宋_GB2312" w:eastAsia="仿宋_GB2312"/>
          <w:sz w:val="32"/>
          <w:szCs w:val="32"/>
        </w:rPr>
      </w:pPr>
      <w:r>
        <w:rPr>
          <w:rFonts w:hint="eastAsia" w:ascii="仿宋_GB2312" w:eastAsia="仿宋_GB2312"/>
          <w:sz w:val="32"/>
          <w:szCs w:val="32"/>
        </w:rPr>
        <w:t>一是资金使用效益有待进一步提高。二是绩效目标设立不够明确、细化和量化。项目单位虽然设立了项目资金绩效目标，但目标不够明确、细化和量化。</w:t>
      </w:r>
    </w:p>
    <w:p>
      <w:pPr>
        <w:ind w:firstLine="640" w:firstLineChars="200"/>
        <w:jc w:val="left"/>
        <w:rPr>
          <w:rFonts w:cs="黑体" w:asciiTheme="minorEastAsia" w:hAnsiTheme="minorEastAsia"/>
          <w:color w:val="000000"/>
          <w:kern w:val="0"/>
          <w:sz w:val="32"/>
          <w:szCs w:val="32"/>
        </w:rPr>
      </w:pPr>
    </w:p>
    <w:p>
      <w:pPr>
        <w:widowControl/>
        <w:jc w:val="left"/>
        <w:rPr>
          <w:rFonts w:asciiTheme="minorEastAsia" w:hAnsiTheme="minorEastAsia"/>
          <w:i/>
          <w:color w:val="FF0000"/>
          <w:sz w:val="32"/>
          <w:szCs w:val="32"/>
        </w:rPr>
      </w:pPr>
    </w:p>
    <w:p>
      <w:pPr>
        <w:widowControl/>
        <w:jc w:val="left"/>
        <w:rPr>
          <w:rFonts w:asciiTheme="minorEastAsia" w:hAnsiTheme="minorEastAsia"/>
          <w:i/>
          <w:color w:val="FF000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8695B"/>
    <w:rsid w:val="00091277"/>
    <w:rsid w:val="00093EA3"/>
    <w:rsid w:val="000A3F69"/>
    <w:rsid w:val="000E1EAC"/>
    <w:rsid w:val="000E5350"/>
    <w:rsid w:val="00110521"/>
    <w:rsid w:val="001268E4"/>
    <w:rsid w:val="00141A43"/>
    <w:rsid w:val="00152C6D"/>
    <w:rsid w:val="00162D39"/>
    <w:rsid w:val="001A4479"/>
    <w:rsid w:val="001A67DB"/>
    <w:rsid w:val="001C50ED"/>
    <w:rsid w:val="001D51E5"/>
    <w:rsid w:val="001E0CD3"/>
    <w:rsid w:val="001F0C3B"/>
    <w:rsid w:val="00214427"/>
    <w:rsid w:val="0022571C"/>
    <w:rsid w:val="00265724"/>
    <w:rsid w:val="00266293"/>
    <w:rsid w:val="0027426B"/>
    <w:rsid w:val="002D59BB"/>
    <w:rsid w:val="002E412D"/>
    <w:rsid w:val="003479BD"/>
    <w:rsid w:val="003768D5"/>
    <w:rsid w:val="004506F9"/>
    <w:rsid w:val="00471575"/>
    <w:rsid w:val="004717A2"/>
    <w:rsid w:val="00491741"/>
    <w:rsid w:val="00500E5F"/>
    <w:rsid w:val="005022E6"/>
    <w:rsid w:val="005122EF"/>
    <w:rsid w:val="00517C33"/>
    <w:rsid w:val="005221B8"/>
    <w:rsid w:val="00523644"/>
    <w:rsid w:val="0054069E"/>
    <w:rsid w:val="0054605C"/>
    <w:rsid w:val="00573586"/>
    <w:rsid w:val="005767CC"/>
    <w:rsid w:val="00590D9F"/>
    <w:rsid w:val="00595D26"/>
    <w:rsid w:val="005A74E6"/>
    <w:rsid w:val="005B50CE"/>
    <w:rsid w:val="005D4D55"/>
    <w:rsid w:val="005E2CFB"/>
    <w:rsid w:val="005E486D"/>
    <w:rsid w:val="006048E1"/>
    <w:rsid w:val="0062378F"/>
    <w:rsid w:val="00647ECD"/>
    <w:rsid w:val="00651EEC"/>
    <w:rsid w:val="00652413"/>
    <w:rsid w:val="00691565"/>
    <w:rsid w:val="006A351B"/>
    <w:rsid w:val="006A4CCE"/>
    <w:rsid w:val="006A71F3"/>
    <w:rsid w:val="006B0422"/>
    <w:rsid w:val="006C1B53"/>
    <w:rsid w:val="006D7730"/>
    <w:rsid w:val="006E5284"/>
    <w:rsid w:val="006F3EB5"/>
    <w:rsid w:val="00702E34"/>
    <w:rsid w:val="00704395"/>
    <w:rsid w:val="00720FF1"/>
    <w:rsid w:val="007238AB"/>
    <w:rsid w:val="00762822"/>
    <w:rsid w:val="00771D82"/>
    <w:rsid w:val="007C33F9"/>
    <w:rsid w:val="00812ED5"/>
    <w:rsid w:val="008277D9"/>
    <w:rsid w:val="008571F7"/>
    <w:rsid w:val="008A3E8D"/>
    <w:rsid w:val="009237C4"/>
    <w:rsid w:val="00950252"/>
    <w:rsid w:val="00967F5D"/>
    <w:rsid w:val="00976B01"/>
    <w:rsid w:val="009A0F95"/>
    <w:rsid w:val="009B3ADF"/>
    <w:rsid w:val="009B4862"/>
    <w:rsid w:val="009C3B52"/>
    <w:rsid w:val="00A42218"/>
    <w:rsid w:val="00A70249"/>
    <w:rsid w:val="00A85311"/>
    <w:rsid w:val="00AF116B"/>
    <w:rsid w:val="00AF6DF8"/>
    <w:rsid w:val="00B072D1"/>
    <w:rsid w:val="00B27728"/>
    <w:rsid w:val="00B33BEA"/>
    <w:rsid w:val="00B34A34"/>
    <w:rsid w:val="00B57C9F"/>
    <w:rsid w:val="00B845B3"/>
    <w:rsid w:val="00B85D8B"/>
    <w:rsid w:val="00B8752C"/>
    <w:rsid w:val="00BB02FC"/>
    <w:rsid w:val="00BC7861"/>
    <w:rsid w:val="00BE3674"/>
    <w:rsid w:val="00BF66AB"/>
    <w:rsid w:val="00C02E2E"/>
    <w:rsid w:val="00C16A25"/>
    <w:rsid w:val="00C3049A"/>
    <w:rsid w:val="00C31B1E"/>
    <w:rsid w:val="00C624C7"/>
    <w:rsid w:val="00C77645"/>
    <w:rsid w:val="00C77B91"/>
    <w:rsid w:val="00C90A60"/>
    <w:rsid w:val="00CA390B"/>
    <w:rsid w:val="00CE04C3"/>
    <w:rsid w:val="00CE76A0"/>
    <w:rsid w:val="00D007E1"/>
    <w:rsid w:val="00D148C6"/>
    <w:rsid w:val="00D67FE0"/>
    <w:rsid w:val="00D77640"/>
    <w:rsid w:val="00DD06FF"/>
    <w:rsid w:val="00DD5FE9"/>
    <w:rsid w:val="00DE4DC7"/>
    <w:rsid w:val="00E00C7A"/>
    <w:rsid w:val="00E27272"/>
    <w:rsid w:val="00E3654A"/>
    <w:rsid w:val="00E55B68"/>
    <w:rsid w:val="00E67A33"/>
    <w:rsid w:val="00E80A1E"/>
    <w:rsid w:val="00EA66BB"/>
    <w:rsid w:val="00EF2F68"/>
    <w:rsid w:val="00F66432"/>
    <w:rsid w:val="00F70640"/>
    <w:rsid w:val="00F74360"/>
    <w:rsid w:val="00FB462F"/>
    <w:rsid w:val="00FE16FA"/>
    <w:rsid w:val="00FE281E"/>
    <w:rsid w:val="00FE328A"/>
    <w:rsid w:val="2D5A2022"/>
    <w:rsid w:val="76B242C3"/>
    <w:rsid w:val="793D4E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1AF0F2-55D1-4250-9C68-7116FD72CA5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961</Words>
  <Characters>5483</Characters>
  <Lines>45</Lines>
  <Paragraphs>12</Paragraphs>
  <TotalTime>1</TotalTime>
  <ScaleCrop>false</ScaleCrop>
  <LinksUpToDate>false</LinksUpToDate>
  <CharactersWithSpaces>6432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2021-06-03T09:05:00Z</dcterms:created>
  <dc:creator>李航 null</dc:creator>
  <cp:lastModifiedBy>且歌</cp:lastModifiedBy>
  <cp:lastPrinted>2020-07-15T07:25:00Z</cp:lastPrinted>
  <dcterms:modified xsi:type="dcterms:W3CDTF">2021-06-06T11:54:14Z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EF09100FAB5C4C2D9422751439F5FAE5</vt:lpwstr>
  </property>
</Properties>
</file>