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494" w:rsidRDefault="00770494">
      <w:pPr>
        <w:pStyle w:val="Default"/>
        <w:jc w:val="center"/>
        <w:rPr>
          <w:sz w:val="56"/>
          <w:szCs w:val="56"/>
        </w:rPr>
      </w:pPr>
    </w:p>
    <w:p w:rsidR="00770494" w:rsidRDefault="00770494">
      <w:pPr>
        <w:pStyle w:val="Default"/>
        <w:jc w:val="center"/>
        <w:rPr>
          <w:sz w:val="56"/>
          <w:szCs w:val="56"/>
        </w:rPr>
      </w:pPr>
    </w:p>
    <w:p w:rsidR="00770494" w:rsidRDefault="00770494">
      <w:pPr>
        <w:pStyle w:val="Default"/>
        <w:jc w:val="center"/>
        <w:rPr>
          <w:sz w:val="84"/>
          <w:szCs w:val="84"/>
        </w:rPr>
      </w:pPr>
    </w:p>
    <w:p w:rsidR="00770494" w:rsidRDefault="00770494">
      <w:pPr>
        <w:pStyle w:val="Default"/>
        <w:jc w:val="center"/>
        <w:rPr>
          <w:sz w:val="84"/>
          <w:szCs w:val="84"/>
        </w:rPr>
      </w:pPr>
    </w:p>
    <w:p w:rsidR="00770494" w:rsidRDefault="00CC4BD7">
      <w:pPr>
        <w:pStyle w:val="Default"/>
        <w:jc w:val="center"/>
        <w:rPr>
          <w:sz w:val="84"/>
          <w:szCs w:val="84"/>
        </w:rPr>
      </w:pPr>
      <w:r>
        <w:rPr>
          <w:rFonts w:hint="eastAsia"/>
          <w:sz w:val="84"/>
          <w:szCs w:val="84"/>
        </w:rPr>
        <w:t>2019年度</w:t>
      </w:r>
    </w:p>
    <w:p w:rsidR="00770494" w:rsidRDefault="00CC4BD7">
      <w:pPr>
        <w:pStyle w:val="Default"/>
        <w:jc w:val="center"/>
        <w:rPr>
          <w:sz w:val="84"/>
          <w:szCs w:val="84"/>
        </w:rPr>
      </w:pPr>
      <w:r>
        <w:rPr>
          <w:rFonts w:hint="eastAsia"/>
          <w:sz w:val="84"/>
          <w:szCs w:val="84"/>
        </w:rPr>
        <w:t>区科技局部门决算</w:t>
      </w:r>
    </w:p>
    <w:p w:rsidR="00770494" w:rsidRDefault="00770494">
      <w:pPr>
        <w:pStyle w:val="Default"/>
        <w:jc w:val="center"/>
        <w:rPr>
          <w:sz w:val="56"/>
          <w:szCs w:val="56"/>
        </w:rPr>
      </w:pPr>
    </w:p>
    <w:p w:rsidR="00770494" w:rsidRDefault="00770494">
      <w:pPr>
        <w:pStyle w:val="Default"/>
        <w:jc w:val="center"/>
        <w:rPr>
          <w:sz w:val="56"/>
          <w:szCs w:val="56"/>
        </w:rPr>
      </w:pPr>
    </w:p>
    <w:p w:rsidR="00770494" w:rsidRDefault="00770494">
      <w:pPr>
        <w:pStyle w:val="Default"/>
        <w:jc w:val="center"/>
        <w:rPr>
          <w:sz w:val="56"/>
          <w:szCs w:val="56"/>
        </w:rPr>
      </w:pPr>
    </w:p>
    <w:p w:rsidR="00770494" w:rsidRDefault="00770494">
      <w:pPr>
        <w:pStyle w:val="Default"/>
        <w:jc w:val="center"/>
        <w:rPr>
          <w:sz w:val="56"/>
          <w:szCs w:val="56"/>
        </w:rPr>
      </w:pPr>
    </w:p>
    <w:p w:rsidR="00770494" w:rsidRDefault="00770494">
      <w:pPr>
        <w:pStyle w:val="Default"/>
        <w:jc w:val="center"/>
        <w:rPr>
          <w:sz w:val="56"/>
          <w:szCs w:val="56"/>
        </w:rPr>
      </w:pPr>
    </w:p>
    <w:p w:rsidR="00770494" w:rsidRDefault="00770494">
      <w:pPr>
        <w:pStyle w:val="Default"/>
        <w:jc w:val="center"/>
        <w:rPr>
          <w:sz w:val="56"/>
          <w:szCs w:val="56"/>
        </w:rPr>
      </w:pPr>
    </w:p>
    <w:p w:rsidR="00770494" w:rsidRDefault="00770494">
      <w:pPr>
        <w:pStyle w:val="Default"/>
        <w:jc w:val="center"/>
        <w:rPr>
          <w:sz w:val="56"/>
          <w:szCs w:val="56"/>
        </w:rPr>
      </w:pPr>
    </w:p>
    <w:p w:rsidR="00770494" w:rsidRDefault="00770494">
      <w:pPr>
        <w:pStyle w:val="Default"/>
        <w:spacing w:line="540" w:lineRule="exact"/>
        <w:jc w:val="center"/>
        <w:rPr>
          <w:sz w:val="56"/>
          <w:szCs w:val="56"/>
        </w:rPr>
      </w:pPr>
    </w:p>
    <w:p w:rsidR="00770494" w:rsidRDefault="00CC4BD7">
      <w:pPr>
        <w:pStyle w:val="Default"/>
        <w:spacing w:line="520" w:lineRule="exact"/>
        <w:jc w:val="center"/>
        <w:rPr>
          <w:sz w:val="56"/>
          <w:szCs w:val="56"/>
        </w:rPr>
      </w:pPr>
      <w:r>
        <w:rPr>
          <w:rFonts w:hint="eastAsia"/>
          <w:sz w:val="56"/>
          <w:szCs w:val="56"/>
        </w:rPr>
        <w:t>目录</w:t>
      </w:r>
    </w:p>
    <w:p w:rsidR="00770494" w:rsidRDefault="00CC4BD7">
      <w:pPr>
        <w:pStyle w:val="Default"/>
        <w:spacing w:line="520" w:lineRule="exact"/>
        <w:rPr>
          <w:rFonts w:ascii="仿宋_GB2312" w:hAnsi="仿宋_GB2312" w:cs="仿宋_GB2312"/>
          <w:b/>
          <w:sz w:val="28"/>
          <w:szCs w:val="28"/>
        </w:rPr>
      </w:pPr>
      <w:r>
        <w:rPr>
          <w:rFonts w:hint="eastAsia"/>
          <w:b/>
          <w:sz w:val="28"/>
          <w:szCs w:val="28"/>
        </w:rPr>
        <w:t>第一部分科技局概况</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770494" w:rsidRDefault="00CC4BD7">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七、一般公共预算财政拨款“三公”经费支出决算表</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770494" w:rsidRDefault="00CC4BD7">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770494" w:rsidRDefault="00CC4BD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770494" w:rsidRDefault="00CC4BD7">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770494" w:rsidRDefault="00CC4BD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770494" w:rsidRDefault="00CC4BD7">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770494" w:rsidRDefault="00CC4BD7">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770494" w:rsidRDefault="00770494">
      <w:pPr>
        <w:jc w:val="center"/>
        <w:rPr>
          <w:sz w:val="72"/>
          <w:szCs w:val="72"/>
        </w:rPr>
      </w:pPr>
    </w:p>
    <w:p w:rsidR="00770494" w:rsidRDefault="00770494">
      <w:pPr>
        <w:jc w:val="center"/>
        <w:rPr>
          <w:sz w:val="72"/>
          <w:szCs w:val="72"/>
        </w:rPr>
      </w:pPr>
    </w:p>
    <w:p w:rsidR="00770494" w:rsidRDefault="00770494">
      <w:pPr>
        <w:jc w:val="center"/>
        <w:rPr>
          <w:sz w:val="72"/>
          <w:szCs w:val="72"/>
        </w:rPr>
      </w:pPr>
    </w:p>
    <w:p w:rsidR="00770494" w:rsidRDefault="00770494">
      <w:pPr>
        <w:jc w:val="center"/>
        <w:rPr>
          <w:sz w:val="72"/>
          <w:szCs w:val="72"/>
        </w:rPr>
      </w:pPr>
    </w:p>
    <w:p w:rsidR="00770494" w:rsidRDefault="00770494">
      <w:pPr>
        <w:rPr>
          <w:sz w:val="72"/>
          <w:szCs w:val="72"/>
        </w:rPr>
      </w:pPr>
    </w:p>
    <w:p w:rsidR="00770494" w:rsidRDefault="00CC4BD7">
      <w:pPr>
        <w:pStyle w:val="Default"/>
        <w:jc w:val="center"/>
        <w:rPr>
          <w:sz w:val="84"/>
          <w:szCs w:val="84"/>
        </w:rPr>
      </w:pPr>
      <w:r>
        <w:rPr>
          <w:rFonts w:hint="eastAsia"/>
          <w:sz w:val="84"/>
          <w:szCs w:val="84"/>
        </w:rPr>
        <w:t>第一部分</w:t>
      </w:r>
    </w:p>
    <w:p w:rsidR="00770494" w:rsidRDefault="00770494">
      <w:pPr>
        <w:pStyle w:val="Default"/>
        <w:jc w:val="center"/>
        <w:rPr>
          <w:sz w:val="84"/>
          <w:szCs w:val="84"/>
        </w:rPr>
      </w:pPr>
    </w:p>
    <w:p w:rsidR="00770494" w:rsidRDefault="00CC4BD7">
      <w:pPr>
        <w:pStyle w:val="Default"/>
        <w:jc w:val="center"/>
        <w:rPr>
          <w:sz w:val="84"/>
          <w:szCs w:val="84"/>
        </w:rPr>
      </w:pPr>
      <w:r>
        <w:rPr>
          <w:rFonts w:hint="eastAsia"/>
          <w:sz w:val="84"/>
          <w:szCs w:val="84"/>
        </w:rPr>
        <w:t>区科技局概况</w:t>
      </w:r>
    </w:p>
    <w:p w:rsidR="00770494" w:rsidRDefault="00770494">
      <w:pPr>
        <w:jc w:val="center"/>
        <w:rPr>
          <w:sz w:val="72"/>
          <w:szCs w:val="72"/>
        </w:rPr>
      </w:pPr>
    </w:p>
    <w:p w:rsidR="00770494" w:rsidRDefault="00770494">
      <w:pPr>
        <w:jc w:val="center"/>
        <w:rPr>
          <w:sz w:val="72"/>
          <w:szCs w:val="72"/>
        </w:rPr>
      </w:pPr>
    </w:p>
    <w:p w:rsidR="00770494" w:rsidRDefault="00770494">
      <w:pPr>
        <w:jc w:val="center"/>
        <w:rPr>
          <w:sz w:val="72"/>
          <w:szCs w:val="72"/>
        </w:rPr>
      </w:pPr>
    </w:p>
    <w:p w:rsidR="00770494" w:rsidRDefault="00770494">
      <w:pPr>
        <w:jc w:val="center"/>
        <w:rPr>
          <w:sz w:val="72"/>
          <w:szCs w:val="72"/>
        </w:rPr>
      </w:pPr>
    </w:p>
    <w:p w:rsidR="00770494" w:rsidRDefault="00770494">
      <w:pPr>
        <w:jc w:val="center"/>
        <w:rPr>
          <w:sz w:val="72"/>
          <w:szCs w:val="72"/>
        </w:rPr>
      </w:pPr>
    </w:p>
    <w:p w:rsidR="00770494" w:rsidRDefault="00770494">
      <w:pPr>
        <w:pStyle w:val="a6"/>
        <w:ind w:left="720" w:firstLineChars="0" w:firstLine="0"/>
        <w:jc w:val="left"/>
        <w:rPr>
          <w:rFonts w:ascii="黑体" w:eastAsia="黑体" w:hAnsi="黑体"/>
          <w:sz w:val="32"/>
          <w:szCs w:val="32"/>
        </w:rPr>
      </w:pPr>
    </w:p>
    <w:p w:rsidR="00770494" w:rsidRDefault="00CC4BD7">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770494" w:rsidRDefault="00CC4BD7">
      <w:pPr>
        <w:ind w:firstLineChars="250" w:firstLine="800"/>
        <w:jc w:val="left"/>
        <w:rPr>
          <w:sz w:val="28"/>
          <w:szCs w:val="28"/>
        </w:rPr>
      </w:pPr>
      <w:r>
        <w:rPr>
          <w:rFonts w:asciiTheme="minorEastAsia" w:hAnsiTheme="minorEastAsia" w:hint="eastAsia"/>
          <w:sz w:val="32"/>
          <w:szCs w:val="32"/>
        </w:rPr>
        <w:t>（一）</w:t>
      </w:r>
      <w:r>
        <w:rPr>
          <w:rFonts w:ascii="Calibri" w:eastAsia="宋体" w:hAnsi="Calibri" w:cs="Times New Roman" w:hint="eastAsia"/>
          <w:sz w:val="28"/>
          <w:szCs w:val="28"/>
        </w:rPr>
        <w:t>单位主要工作职责</w:t>
      </w:r>
      <w:r>
        <w:rPr>
          <w:rFonts w:ascii="Calibri" w:eastAsia="宋体" w:hAnsi="Calibri" w:cs="Times New Roman" w:hint="eastAsia"/>
          <w:sz w:val="28"/>
          <w:szCs w:val="28"/>
        </w:rPr>
        <w:t xml:space="preserve">: </w:t>
      </w:r>
      <w:r>
        <w:rPr>
          <w:rFonts w:ascii="Calibri" w:eastAsia="宋体" w:hAnsi="Calibri" w:cs="Times New Roman" w:hint="eastAsia"/>
          <w:sz w:val="28"/>
          <w:szCs w:val="28"/>
        </w:rPr>
        <w:t>统筹推进全区创新体系建设和科技体制改革，会同有关部门健全技术创新激励机制。优化科研体系建设，指导科研机构改革发展，推动企业科技创新能力建设，承担推进科技军民融合发展相关工作，推进全区重大科技决策咨询制度建设。</w:t>
      </w:r>
    </w:p>
    <w:p w:rsidR="00770494" w:rsidRDefault="00CC4BD7">
      <w:pPr>
        <w:ind w:firstLineChars="250" w:firstLine="700"/>
        <w:jc w:val="left"/>
        <w:rPr>
          <w:sz w:val="28"/>
          <w:szCs w:val="28"/>
        </w:rPr>
      </w:pPr>
      <w:r>
        <w:rPr>
          <w:rFonts w:hint="eastAsia"/>
          <w:sz w:val="28"/>
          <w:szCs w:val="28"/>
        </w:rPr>
        <w:t>（二）</w:t>
      </w:r>
      <w:r>
        <w:rPr>
          <w:rFonts w:ascii="Calibri" w:eastAsia="宋体" w:hAnsi="Calibri" w:cs="Times New Roman" w:hint="eastAsia"/>
          <w:sz w:val="28"/>
          <w:szCs w:val="28"/>
        </w:rPr>
        <w:t>拟订科学普及和科学传播规划、政策。统筹推进创新型城市建设。</w:t>
      </w:r>
    </w:p>
    <w:p w:rsidR="00770494" w:rsidRDefault="00CC4BD7">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770494" w:rsidRDefault="00CC4BD7">
      <w:pPr>
        <w:spacing w:line="560" w:lineRule="exact"/>
        <w:ind w:firstLineChars="200" w:firstLine="640"/>
        <w:rPr>
          <w:rFonts w:ascii="仿宋_GB2312" w:eastAsia="仿宋_GB2312" w:hAnsi="仿宋_GB2312" w:cs="仿宋_GB2312"/>
          <w:sz w:val="32"/>
          <w:szCs w:val="32"/>
        </w:rPr>
      </w:pPr>
      <w:r>
        <w:rPr>
          <w:rFonts w:asciiTheme="minorEastAsia" w:hAnsiTheme="minorEastAsia" w:hint="eastAsia"/>
          <w:bCs/>
          <w:kern w:val="0"/>
          <w:sz w:val="32"/>
          <w:szCs w:val="32"/>
        </w:rPr>
        <w:t>（一）内设机构设置。区科技局内设机构包括：</w:t>
      </w:r>
      <w:r>
        <w:rPr>
          <w:rFonts w:ascii="仿宋_GB2312" w:eastAsia="仿宋_GB2312" w:hAnsi="Calibri" w:cs="Times New Roman" w:hint="eastAsia"/>
          <w:sz w:val="32"/>
          <w:szCs w:val="32"/>
        </w:rPr>
        <w:t>办公室、</w:t>
      </w:r>
      <w:r>
        <w:rPr>
          <w:rFonts w:ascii="Calibri" w:eastAsia="仿宋_GB2312" w:hAnsi="Calibri" w:cs="Times New Roman" w:hint="eastAsia"/>
          <w:kern w:val="0"/>
          <w:sz w:val="32"/>
          <w:szCs w:val="32"/>
        </w:rPr>
        <w:t>高新技术发展与成果转化</w:t>
      </w:r>
      <w:r>
        <w:rPr>
          <w:rFonts w:ascii="仿宋_GB2312" w:eastAsia="仿宋_GB2312" w:hAnsi="仿宋_GB2312" w:cs="仿宋_GB2312" w:hint="eastAsia"/>
          <w:sz w:val="32"/>
          <w:szCs w:val="32"/>
        </w:rPr>
        <w:t>股、</w:t>
      </w:r>
      <w:r>
        <w:rPr>
          <w:rFonts w:ascii="Calibri" w:eastAsia="仿宋_GB2312" w:hAnsi="Calibri" w:cs="Times New Roman"/>
          <w:kern w:val="0"/>
          <w:sz w:val="32"/>
          <w:szCs w:val="32"/>
        </w:rPr>
        <w:t>农村</w:t>
      </w:r>
      <w:r>
        <w:rPr>
          <w:rFonts w:ascii="Calibri" w:eastAsia="仿宋_GB2312" w:hAnsi="Calibri" w:cs="Times New Roman" w:hint="eastAsia"/>
          <w:kern w:val="0"/>
          <w:sz w:val="32"/>
          <w:szCs w:val="32"/>
        </w:rPr>
        <w:t>社会发展与科技人才</w:t>
      </w:r>
      <w:r>
        <w:rPr>
          <w:rFonts w:ascii="仿宋_GB2312" w:eastAsia="仿宋_GB2312" w:hAnsi="仿宋_GB2312" w:cs="仿宋_GB2312" w:hint="eastAsia"/>
          <w:sz w:val="32"/>
          <w:szCs w:val="32"/>
        </w:rPr>
        <w:t>股。</w:t>
      </w:r>
    </w:p>
    <w:p w:rsidR="00770494" w:rsidRDefault="00CC4BD7">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（二）决算单位构成。区科技局</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w:t>
      </w:r>
      <w:r w:rsidR="007F39FF" w:rsidRPr="007F39FF">
        <w:rPr>
          <w:rFonts w:asciiTheme="minorEastAsia" w:hAnsiTheme="minorEastAsia" w:hint="eastAsia"/>
          <w:bCs/>
          <w:kern w:val="0"/>
          <w:sz w:val="32"/>
          <w:szCs w:val="32"/>
        </w:rPr>
        <w:t>科技局局本级和所属二级机构区科技情报研究所</w:t>
      </w:r>
      <w:r>
        <w:rPr>
          <w:rFonts w:asciiTheme="minorEastAsia" w:hAnsiTheme="minorEastAsia" w:hint="eastAsia"/>
          <w:bCs/>
          <w:kern w:val="0"/>
          <w:sz w:val="32"/>
          <w:szCs w:val="32"/>
        </w:rPr>
        <w:t>。</w:t>
      </w:r>
    </w:p>
    <w:p w:rsidR="00770494" w:rsidRDefault="00770494">
      <w:pPr>
        <w:jc w:val="left"/>
        <w:rPr>
          <w:rFonts w:ascii="仿宋_GB2312" w:eastAsia="仿宋_GB2312" w:hAnsiTheme="minorEastAsia"/>
          <w:sz w:val="28"/>
          <w:szCs w:val="32"/>
        </w:rPr>
      </w:pPr>
    </w:p>
    <w:p w:rsidR="00770494" w:rsidRDefault="00770494">
      <w:pPr>
        <w:jc w:val="center"/>
        <w:rPr>
          <w:rFonts w:ascii="黑体" w:eastAsia="黑体" w:hAnsi="黑体"/>
          <w:sz w:val="28"/>
          <w:szCs w:val="28"/>
        </w:rPr>
      </w:pPr>
    </w:p>
    <w:p w:rsidR="00770494" w:rsidRDefault="00770494">
      <w:pPr>
        <w:jc w:val="center"/>
        <w:rPr>
          <w:rFonts w:ascii="黑体" w:eastAsia="黑体" w:hAnsi="黑体"/>
          <w:sz w:val="28"/>
          <w:szCs w:val="28"/>
        </w:rPr>
      </w:pPr>
    </w:p>
    <w:p w:rsidR="00770494" w:rsidRDefault="00770494">
      <w:pPr>
        <w:jc w:val="center"/>
        <w:rPr>
          <w:rFonts w:ascii="黑体" w:eastAsia="黑体" w:hAnsi="黑体"/>
          <w:sz w:val="28"/>
          <w:szCs w:val="28"/>
        </w:rPr>
      </w:pPr>
    </w:p>
    <w:p w:rsidR="00770494" w:rsidRDefault="00770494">
      <w:pPr>
        <w:jc w:val="center"/>
        <w:rPr>
          <w:rFonts w:ascii="黑体" w:eastAsia="黑体" w:hAnsi="黑体"/>
          <w:sz w:val="28"/>
          <w:szCs w:val="28"/>
        </w:rPr>
      </w:pPr>
    </w:p>
    <w:p w:rsidR="00770494" w:rsidRDefault="00770494">
      <w:pPr>
        <w:jc w:val="center"/>
        <w:rPr>
          <w:rFonts w:ascii="黑体" w:eastAsia="黑体" w:hAnsi="黑体"/>
          <w:sz w:val="28"/>
          <w:szCs w:val="28"/>
        </w:rPr>
      </w:pPr>
    </w:p>
    <w:p w:rsidR="00770494" w:rsidRDefault="00770494">
      <w:pPr>
        <w:jc w:val="center"/>
        <w:rPr>
          <w:rFonts w:ascii="黑体" w:eastAsia="黑体" w:hAnsi="黑体"/>
          <w:sz w:val="28"/>
          <w:szCs w:val="28"/>
        </w:rPr>
      </w:pPr>
      <w:bookmarkStart w:id="0" w:name="_GoBack"/>
      <w:bookmarkEnd w:id="0"/>
    </w:p>
    <w:p w:rsidR="00770494" w:rsidRDefault="00770494">
      <w:pPr>
        <w:jc w:val="center"/>
        <w:rPr>
          <w:rFonts w:ascii="黑体" w:eastAsia="黑体" w:hAnsi="黑体"/>
          <w:sz w:val="28"/>
          <w:szCs w:val="28"/>
        </w:rPr>
      </w:pPr>
    </w:p>
    <w:p w:rsidR="00770494" w:rsidRDefault="00CC4BD7">
      <w:pPr>
        <w:jc w:val="center"/>
        <w:rPr>
          <w:sz w:val="72"/>
          <w:szCs w:val="72"/>
        </w:rPr>
      </w:pPr>
      <w:r>
        <w:rPr>
          <w:rFonts w:hint="eastAsia"/>
          <w:sz w:val="72"/>
          <w:szCs w:val="72"/>
        </w:rPr>
        <w:t>第二部分</w:t>
      </w:r>
    </w:p>
    <w:p w:rsidR="00770494" w:rsidRDefault="00770494">
      <w:pPr>
        <w:jc w:val="center"/>
        <w:rPr>
          <w:sz w:val="72"/>
          <w:szCs w:val="72"/>
        </w:rPr>
      </w:pPr>
    </w:p>
    <w:p w:rsidR="00770494" w:rsidRDefault="00CC4BD7">
      <w:pPr>
        <w:jc w:val="center"/>
        <w:rPr>
          <w:sz w:val="72"/>
          <w:szCs w:val="72"/>
        </w:rPr>
      </w:pPr>
      <w:r>
        <w:rPr>
          <w:rFonts w:hint="eastAsia"/>
          <w:sz w:val="72"/>
          <w:szCs w:val="72"/>
        </w:rPr>
        <w:t>部门决算表（详见附表）</w:t>
      </w:r>
    </w:p>
    <w:p w:rsidR="00770494" w:rsidRDefault="00770494">
      <w:pPr>
        <w:jc w:val="center"/>
        <w:rPr>
          <w:sz w:val="72"/>
          <w:szCs w:val="72"/>
        </w:rPr>
      </w:pPr>
    </w:p>
    <w:p w:rsidR="00770494" w:rsidRDefault="00770494">
      <w:pPr>
        <w:pStyle w:val="Default"/>
        <w:rPr>
          <w:sz w:val="72"/>
          <w:szCs w:val="72"/>
        </w:rPr>
        <w:sectPr w:rsidR="00770494">
          <w:pgSz w:w="16838" w:h="11906" w:orient="landscape"/>
          <w:pgMar w:top="720" w:right="720" w:bottom="720" w:left="720" w:header="851" w:footer="992" w:gutter="0"/>
          <w:cols w:space="425"/>
          <w:docGrid w:type="lines" w:linePitch="312"/>
        </w:sectPr>
      </w:pPr>
    </w:p>
    <w:p w:rsidR="00770494" w:rsidRDefault="00770494">
      <w:pPr>
        <w:pStyle w:val="Default"/>
        <w:rPr>
          <w:sz w:val="72"/>
          <w:szCs w:val="72"/>
        </w:rPr>
      </w:pPr>
    </w:p>
    <w:p w:rsidR="00770494" w:rsidRDefault="00770494">
      <w:pPr>
        <w:pStyle w:val="Default"/>
        <w:rPr>
          <w:sz w:val="72"/>
          <w:szCs w:val="72"/>
        </w:rPr>
      </w:pPr>
    </w:p>
    <w:p w:rsidR="00770494" w:rsidRDefault="00770494">
      <w:pPr>
        <w:pStyle w:val="Default"/>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CC4BD7">
      <w:pPr>
        <w:pStyle w:val="Default"/>
        <w:jc w:val="center"/>
        <w:rPr>
          <w:sz w:val="72"/>
          <w:szCs w:val="72"/>
        </w:rPr>
      </w:pPr>
      <w:r>
        <w:rPr>
          <w:rFonts w:hint="eastAsia"/>
          <w:sz w:val="72"/>
          <w:szCs w:val="72"/>
        </w:rPr>
        <w:t>第三部分</w:t>
      </w:r>
    </w:p>
    <w:p w:rsidR="00770494" w:rsidRDefault="00770494">
      <w:pPr>
        <w:pStyle w:val="Default"/>
        <w:jc w:val="center"/>
        <w:rPr>
          <w:sz w:val="70"/>
          <w:szCs w:val="70"/>
        </w:rPr>
      </w:pPr>
    </w:p>
    <w:p w:rsidR="00770494" w:rsidRDefault="00CC4BD7">
      <w:pPr>
        <w:pStyle w:val="Default"/>
        <w:jc w:val="center"/>
        <w:rPr>
          <w:sz w:val="70"/>
          <w:szCs w:val="70"/>
        </w:rPr>
      </w:pPr>
      <w:r>
        <w:rPr>
          <w:sz w:val="70"/>
          <w:szCs w:val="70"/>
        </w:rPr>
        <w:t>2019</w:t>
      </w:r>
      <w:r>
        <w:rPr>
          <w:rFonts w:hint="eastAsia"/>
          <w:sz w:val="70"/>
          <w:szCs w:val="70"/>
        </w:rPr>
        <w:t>年度部门决算情况说明</w:t>
      </w:r>
    </w:p>
    <w:p w:rsidR="00770494" w:rsidRDefault="00CC4BD7">
      <w:pPr>
        <w:widowControl/>
        <w:jc w:val="left"/>
        <w:rPr>
          <w:rFonts w:ascii="黑体" w:eastAsia="黑体" w:cs="黑体"/>
          <w:color w:val="000000"/>
          <w:kern w:val="0"/>
          <w:sz w:val="70"/>
          <w:szCs w:val="70"/>
        </w:rPr>
      </w:pPr>
      <w:r>
        <w:rPr>
          <w:sz w:val="70"/>
          <w:szCs w:val="70"/>
        </w:rPr>
        <w:br w:type="page"/>
      </w:r>
    </w:p>
    <w:p w:rsidR="00770494" w:rsidRDefault="00770494">
      <w:pPr>
        <w:pStyle w:val="Default"/>
        <w:rPr>
          <w:rFonts w:asciiTheme="minorEastAsia" w:eastAsiaTheme="minorEastAsia" w:hAnsiTheme="minorEastAsia"/>
          <w:sz w:val="32"/>
          <w:szCs w:val="32"/>
        </w:rPr>
      </w:pPr>
    </w:p>
    <w:p w:rsidR="00770494" w:rsidRDefault="00CC4BD7">
      <w:pPr>
        <w:pStyle w:val="Default"/>
        <w:rPr>
          <w:rFonts w:hAnsi="黑体"/>
          <w:b/>
          <w:sz w:val="32"/>
          <w:szCs w:val="32"/>
        </w:rPr>
      </w:pPr>
      <w:r>
        <w:rPr>
          <w:rFonts w:hAnsi="黑体" w:hint="eastAsia"/>
          <w:b/>
          <w:sz w:val="32"/>
          <w:szCs w:val="32"/>
        </w:rPr>
        <w:t>一、收入支出决算总体情况说明</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年度收入总计</w:t>
      </w:r>
      <w:r>
        <w:rPr>
          <w:rFonts w:asciiTheme="minorEastAsia" w:eastAsiaTheme="minorEastAsia" w:hAnsiTheme="minorEastAsia"/>
          <w:sz w:val="32"/>
          <w:szCs w:val="32"/>
        </w:rPr>
        <w:t>192.16</w:t>
      </w:r>
      <w:r>
        <w:rPr>
          <w:rFonts w:asciiTheme="minorEastAsia" w:eastAsiaTheme="minorEastAsia" w:hAnsiTheme="minorEastAsia" w:hint="eastAsia"/>
          <w:sz w:val="32"/>
          <w:szCs w:val="32"/>
        </w:rPr>
        <w:t>万元、支出总计</w:t>
      </w:r>
      <w:r>
        <w:rPr>
          <w:rFonts w:asciiTheme="minorEastAsia" w:eastAsiaTheme="minorEastAsia" w:hAnsiTheme="minorEastAsia"/>
          <w:sz w:val="32"/>
          <w:szCs w:val="32"/>
        </w:rPr>
        <w:t>214.46</w:t>
      </w:r>
      <w:r>
        <w:rPr>
          <w:rFonts w:asciiTheme="minorEastAsia" w:eastAsiaTheme="minorEastAsia" w:hAnsiTheme="minorEastAsia" w:hint="eastAsia"/>
          <w:sz w:val="32"/>
          <w:szCs w:val="32"/>
        </w:rPr>
        <w:t>万元。收入与2018年相比，增加37.63万元，增长24.35%，主要是因为增加了科技扶贫团工作经费；支出与2018年相比，增加63.09万元，增长41.68%，变化的主要原因增加了科技扶贫团工作经费。</w:t>
      </w:r>
    </w:p>
    <w:p w:rsidR="00770494" w:rsidRDefault="00CC4BD7">
      <w:pPr>
        <w:pStyle w:val="Default"/>
        <w:rPr>
          <w:rFonts w:hAnsi="黑体"/>
          <w:b/>
          <w:sz w:val="32"/>
          <w:szCs w:val="32"/>
        </w:rPr>
      </w:pPr>
      <w:r>
        <w:rPr>
          <w:rFonts w:hAnsi="黑体" w:hint="eastAsia"/>
          <w:b/>
          <w:sz w:val="32"/>
          <w:szCs w:val="32"/>
        </w:rPr>
        <w:t>二、收入决算情况说明</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sz w:val="32"/>
          <w:szCs w:val="32"/>
        </w:rPr>
        <w:t>192.16</w:t>
      </w:r>
      <w:r>
        <w:rPr>
          <w:rFonts w:asciiTheme="minorEastAsia" w:eastAsiaTheme="minorEastAsia" w:hAnsiTheme="minorEastAsia" w:hint="eastAsia"/>
          <w:sz w:val="32"/>
          <w:szCs w:val="32"/>
        </w:rPr>
        <w:t>万元，其中：财政拨款收入</w:t>
      </w:r>
      <w:r>
        <w:rPr>
          <w:rFonts w:asciiTheme="minorEastAsia" w:eastAsiaTheme="minorEastAsia" w:hAnsiTheme="minorEastAsia"/>
          <w:sz w:val="32"/>
          <w:szCs w:val="32"/>
        </w:rPr>
        <w:t>192.16</w:t>
      </w:r>
      <w:r>
        <w:rPr>
          <w:rFonts w:asciiTheme="minorEastAsia" w:eastAsiaTheme="minorEastAsia" w:hAnsiTheme="minorEastAsia" w:hint="eastAsia"/>
          <w:sz w:val="32"/>
          <w:szCs w:val="32"/>
        </w:rPr>
        <w:t>万元，占100%；上级补助收入0万元，占0%；事业收入0万元，占0%；经营收入0万元，占0%；附属单位上缴收入0万元，占0%；其他收入0万元，占0%。</w:t>
      </w:r>
    </w:p>
    <w:p w:rsidR="00770494" w:rsidRDefault="00CC4BD7">
      <w:pPr>
        <w:pStyle w:val="Default"/>
        <w:rPr>
          <w:rFonts w:hAnsi="黑体"/>
          <w:b/>
          <w:sz w:val="32"/>
          <w:szCs w:val="32"/>
        </w:rPr>
      </w:pPr>
      <w:r>
        <w:rPr>
          <w:rFonts w:hAnsi="黑体" w:hint="eastAsia"/>
          <w:b/>
          <w:sz w:val="32"/>
          <w:szCs w:val="32"/>
        </w:rPr>
        <w:t>三、支出决算情况说明</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sz w:val="32"/>
          <w:szCs w:val="32"/>
        </w:rPr>
        <w:t>214.46</w:t>
      </w:r>
      <w:r>
        <w:rPr>
          <w:rFonts w:asciiTheme="minorEastAsia" w:eastAsiaTheme="minorEastAsia" w:hAnsiTheme="minorEastAsia" w:hint="eastAsia"/>
          <w:sz w:val="32"/>
          <w:szCs w:val="32"/>
        </w:rPr>
        <w:t>万元，其中：基本支出</w:t>
      </w:r>
      <w:r>
        <w:rPr>
          <w:rFonts w:asciiTheme="minorEastAsia" w:eastAsiaTheme="minorEastAsia" w:hAnsiTheme="minorEastAsia"/>
          <w:sz w:val="32"/>
          <w:szCs w:val="32"/>
        </w:rPr>
        <w:t>124.11</w:t>
      </w:r>
      <w:r>
        <w:rPr>
          <w:rFonts w:asciiTheme="minorEastAsia" w:eastAsiaTheme="minorEastAsia" w:hAnsiTheme="minorEastAsia" w:hint="eastAsia"/>
          <w:sz w:val="32"/>
          <w:szCs w:val="32"/>
        </w:rPr>
        <w:t>万元，占58%；项目支出90.35万元，占42%；上缴上级支出0万元，占0%；经营支出0万元，占0%；对附属单位补助支出0万元，占0%。</w:t>
      </w:r>
    </w:p>
    <w:p w:rsidR="00770494" w:rsidRDefault="00CC4BD7">
      <w:pPr>
        <w:pStyle w:val="Default"/>
        <w:rPr>
          <w:rFonts w:hAnsi="黑体"/>
          <w:b/>
          <w:sz w:val="32"/>
          <w:szCs w:val="32"/>
        </w:rPr>
      </w:pPr>
      <w:r>
        <w:rPr>
          <w:rFonts w:hAnsi="黑体" w:hint="eastAsia"/>
          <w:b/>
          <w:sz w:val="32"/>
          <w:szCs w:val="32"/>
        </w:rPr>
        <w:t>四、财政拨款收入支出决算总体情况说明</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2019年度财政拨款收入总计</w:t>
      </w:r>
      <w:r>
        <w:rPr>
          <w:rFonts w:asciiTheme="minorEastAsia" w:eastAsiaTheme="minorEastAsia" w:hAnsiTheme="minorEastAsia"/>
          <w:sz w:val="32"/>
          <w:szCs w:val="32"/>
        </w:rPr>
        <w:t>192.16</w:t>
      </w:r>
      <w:r>
        <w:rPr>
          <w:rFonts w:asciiTheme="minorEastAsia" w:eastAsiaTheme="minorEastAsia" w:hAnsiTheme="minorEastAsia" w:hint="eastAsia"/>
          <w:sz w:val="32"/>
          <w:szCs w:val="32"/>
        </w:rPr>
        <w:t>万元、支出总计</w:t>
      </w:r>
      <w:r>
        <w:rPr>
          <w:rFonts w:asciiTheme="minorEastAsia" w:eastAsiaTheme="minorEastAsia" w:hAnsiTheme="minorEastAsia"/>
          <w:sz w:val="32"/>
          <w:szCs w:val="32"/>
        </w:rPr>
        <w:t>214.46</w:t>
      </w:r>
      <w:r>
        <w:rPr>
          <w:rFonts w:asciiTheme="minorEastAsia" w:eastAsiaTheme="minorEastAsia" w:hAnsiTheme="minorEastAsia" w:hint="eastAsia"/>
          <w:sz w:val="32"/>
          <w:szCs w:val="32"/>
        </w:rPr>
        <w:t>万元。收入与2018年相比，增加37.63万元, 增长24.35%，主要是因为增加了科技扶贫团工作经费；支出与2018年相比，增加63.09万元，增长41.68%，变化的主要原因增加了科技扶贫团工作经费。</w:t>
      </w:r>
    </w:p>
    <w:p w:rsidR="00770494" w:rsidRDefault="00CC4BD7">
      <w:pPr>
        <w:pStyle w:val="Default"/>
        <w:rPr>
          <w:rFonts w:hAnsi="黑体"/>
          <w:b/>
          <w:sz w:val="32"/>
          <w:szCs w:val="32"/>
        </w:rPr>
      </w:pPr>
      <w:r>
        <w:rPr>
          <w:rFonts w:hAnsi="黑体" w:hint="eastAsia"/>
          <w:b/>
          <w:sz w:val="32"/>
          <w:szCs w:val="32"/>
        </w:rPr>
        <w:t>五、一般公共预算财政拨款支出决算情况说明</w:t>
      </w:r>
    </w:p>
    <w:p w:rsidR="00770494" w:rsidRDefault="00CC4BD7" w:rsidP="0034509A">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w:t>
      </w:r>
      <w:r>
        <w:rPr>
          <w:rFonts w:asciiTheme="minorEastAsia" w:eastAsiaTheme="minorEastAsia" w:hAnsiTheme="minorEastAsia"/>
          <w:sz w:val="32"/>
          <w:szCs w:val="32"/>
        </w:rPr>
        <w:t>214.46</w:t>
      </w:r>
      <w:r>
        <w:rPr>
          <w:rFonts w:asciiTheme="minorEastAsia" w:eastAsiaTheme="minorEastAsia" w:hAnsiTheme="minorEastAsia" w:hint="eastAsia"/>
          <w:sz w:val="32"/>
          <w:szCs w:val="32"/>
        </w:rPr>
        <w:t>万元，占本年支出合计的100%，与2018年相比，财政拨款支出增加63.09万元，增长41.68%，主要是因为增加了科技扶贫团工作经费。</w:t>
      </w:r>
    </w:p>
    <w:p w:rsidR="00770494" w:rsidRDefault="00CC4BD7" w:rsidP="0034509A">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（二）财政拨款支出决算结构情况</w:t>
      </w:r>
    </w:p>
    <w:p w:rsidR="00770494" w:rsidRDefault="00CC4BD7">
      <w:pPr>
        <w:pStyle w:val="Default"/>
        <w:ind w:firstLineChars="200" w:firstLine="640"/>
        <w:rPr>
          <w:rFonts w:asciiTheme="minorEastAsia" w:eastAsiaTheme="minorEastAsia" w:hAnsiTheme="minorEastAsia"/>
          <w:color w:val="FF0000"/>
          <w:sz w:val="32"/>
          <w:szCs w:val="32"/>
        </w:rPr>
      </w:pPr>
      <w:r>
        <w:rPr>
          <w:rFonts w:asciiTheme="minorEastAsia" w:eastAsiaTheme="minorEastAsia" w:hAnsiTheme="minorEastAsia" w:hint="eastAsia"/>
          <w:sz w:val="32"/>
          <w:szCs w:val="32"/>
        </w:rPr>
        <w:t>2019年度财政拨款支出</w:t>
      </w:r>
      <w:r>
        <w:rPr>
          <w:rFonts w:asciiTheme="minorEastAsia" w:eastAsiaTheme="minorEastAsia" w:hAnsiTheme="minorEastAsia"/>
          <w:sz w:val="32"/>
          <w:szCs w:val="32"/>
        </w:rPr>
        <w:t>214.46</w:t>
      </w:r>
      <w:r>
        <w:rPr>
          <w:rFonts w:asciiTheme="minorEastAsia" w:eastAsiaTheme="minorEastAsia" w:hAnsiTheme="minorEastAsia" w:hint="eastAsia"/>
          <w:sz w:val="32"/>
          <w:szCs w:val="32"/>
        </w:rPr>
        <w:t>万元，主要用于以下方面：科学技术支出（类）支出205.53万元，占95.84%；社会保障和就业支出（类）支出0.27万元，占0.13%卫生健康支出（类）支出3.46万元，占1.61%;住房保障支出（类）支出5.2万元，占2.42%</w:t>
      </w:r>
    </w:p>
    <w:p w:rsidR="00770494" w:rsidRDefault="00CC4BD7" w:rsidP="0034509A">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2019年度财政拨款支出年初预算数为264.19万元，支出决算数为</w:t>
      </w:r>
      <w:r>
        <w:rPr>
          <w:rFonts w:asciiTheme="minorEastAsia" w:eastAsiaTheme="minorEastAsia" w:hAnsiTheme="minorEastAsia"/>
          <w:sz w:val="32"/>
          <w:szCs w:val="32"/>
        </w:rPr>
        <w:t>214.46</w:t>
      </w:r>
      <w:r>
        <w:rPr>
          <w:rFonts w:asciiTheme="minorEastAsia" w:eastAsiaTheme="minorEastAsia" w:hAnsiTheme="minorEastAsia" w:hint="eastAsia"/>
          <w:sz w:val="32"/>
          <w:szCs w:val="32"/>
        </w:rPr>
        <w:t>万元，完成年初预算的92%，其中：</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1、科学技术支出（类）科学技术管理事务（款） 行政运行（项）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年初预算为37.36万元，支出决算为71.36万元，完成年初预算的191%，决算数大于年初预算数的主要原因是：增加了科技扶贫团工作经费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2、科学技术支出（类）科学技术管理事务（款）一般行政管理事务。（项）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年初预算为96.04万元，支出决算为22.60万元，完成年初预算的24%，决算数小于年初预算数的主要原因是：专项业务费用减少</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3、科学技术支出（类）科学技术管理事务（款）其他科学技术管理事务支出（项）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年初预算为20万元，支出决算为66.57万元，完成年初预算的332%。决算数大于年初预算数的主要原因是：决算调整</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4、科学技术支出（类）技术研究与开发（款）应用技术研究与开发（项）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年初预算为25万元，支出决算为25万元，完成年初预算的100%。</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5、科学技术支出（类）技术研究与开发（款）</w:t>
      </w:r>
      <w:r>
        <w:rPr>
          <w:rFonts w:asciiTheme="minorEastAsia" w:eastAsiaTheme="minorEastAsia" w:hAnsiTheme="minorEastAsia" w:hint="eastAsia"/>
        </w:rPr>
        <w:t>科技成果转化与扩散（项）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年初预算为20万元，支出决算为20万元，完成年初预算的100%。</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6、社会保障和就业支出（类）行政事业单位离退休（款）归口管理的</w:t>
      </w:r>
      <w:r>
        <w:rPr>
          <w:rFonts w:asciiTheme="minorEastAsia" w:eastAsiaTheme="minorEastAsia" w:hAnsiTheme="minorEastAsia" w:hint="eastAsia"/>
          <w:sz w:val="32"/>
          <w:szCs w:val="32"/>
        </w:rPr>
        <w:lastRenderedPageBreak/>
        <w:t>行政单位离退休（项）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年初预算为20.41万元，支出决算为0.27万元，完成年初预算的1%，决算数小于于年初预算数的主要原因是：提前退休人员工资不计入本科目。</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7、卫生健康支出（类）行政事业单位医疗（款）行政单位医疗（项）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年初预算为2.18万元，支出决算为2.18万元，完成年初预算的100%。</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8、卫生健康支出（类）行政事业单位医疗（款）事业单位医疗（项）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年初预算为1.28万元，支出决算为1.28万元，完成年初预算的100%。</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9、住房保障支出（类）住房改革支出（款）住房公积金（项）</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年初预算为5.2万元，支出决算为5.2万元，完成年初预算的100%。</w:t>
      </w:r>
    </w:p>
    <w:p w:rsidR="00770494" w:rsidRDefault="00CC4BD7">
      <w:pPr>
        <w:pStyle w:val="Default"/>
        <w:rPr>
          <w:rFonts w:hAnsi="黑体"/>
          <w:b/>
          <w:sz w:val="32"/>
          <w:szCs w:val="32"/>
        </w:rPr>
      </w:pPr>
      <w:r>
        <w:rPr>
          <w:rFonts w:hAnsi="黑体" w:hint="eastAsia"/>
          <w:b/>
          <w:sz w:val="32"/>
          <w:szCs w:val="32"/>
        </w:rPr>
        <w:t>六、一般公共预算财政拨款基本支出决算情况说明</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124.11万元，其中：人员经费99.65万元，占基本支出的80%,主要包括基本工资、津贴补贴、奖金、伙食补助费、生活补助、职工基本医疗保险缴费；公用经费24.46万元，占基本支出的20%，主要包括办公费、培训费、印刷费、差旅费、会议费、租赁费、公务接待费、工会经费、福利费、其他商品服务支出。</w:t>
      </w:r>
    </w:p>
    <w:p w:rsidR="00770494" w:rsidRDefault="00CC4BD7">
      <w:pPr>
        <w:pStyle w:val="Default"/>
        <w:rPr>
          <w:rFonts w:hAnsi="黑体"/>
          <w:b/>
          <w:sz w:val="32"/>
          <w:szCs w:val="32"/>
        </w:rPr>
      </w:pPr>
      <w:r>
        <w:rPr>
          <w:rFonts w:hAnsi="黑体" w:hint="eastAsia"/>
          <w:b/>
          <w:sz w:val="32"/>
          <w:szCs w:val="32"/>
        </w:rPr>
        <w:t>七、一般公共预算财政拨款三公经费支出决算情况说明</w:t>
      </w:r>
    </w:p>
    <w:p w:rsidR="00770494" w:rsidRDefault="00CC4BD7">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“三公”经费财政拨款支出预算为3万元，支出决算为0.09万元，完成预算的3%，其中：</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因公出国（境）费支出预算为0万元，支出决算为0万元，完成预算的0%，，与上年相比减少（增加）0万元，减少（增长）0%,减少（增长）0</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公务接待费支出预算为3万元，支出决算为0.09万元，完成预算的3%，决算数小于年初预算数的主要原因是压缩接待支出，与上年相比增加0.09万元，增长100%,增长的主要原因是上年的接待费科目列支不同。</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公务用车购置费及运行维护费支出预算为0万元，支出决算为0万元，完成预算的0%，，与上年相比减少（增加）0万元，减少（增长）0%</w:t>
      </w:r>
    </w:p>
    <w:p w:rsidR="00770494" w:rsidRDefault="00CC4BD7">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2019年度“三公”经费财政拨款支出决算中，公务接待费支出决算0.09万元，占2%,因公出国（境）费支出决算0万元，占0%,公务用车购置费及运行维护费支出决算0万元，占0%。其中：</w:t>
      </w:r>
    </w:p>
    <w:p w:rsidR="00770494" w:rsidRDefault="00CC4BD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770494" w:rsidRDefault="00CC4BD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2、公务接待费支出决算为0.09万元，全年共接待来访团组2个、来宾10人次，主要是接待外县科技局来我局联系工作发生的接待支出。</w:t>
      </w:r>
    </w:p>
    <w:p w:rsidR="00770494" w:rsidRDefault="00CC4BD7">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3、公务用车购置费及运行维护费支出决算为0万元，其中：公务用车购置费0万元，0（单位本级或某二级机构）更新公务用车0辆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公务用车运行维护费0万元，截止2019年12月31日，我单位开支财政拨款的公务用车保有量为0辆。</w:t>
      </w:r>
    </w:p>
    <w:p w:rsidR="00770494" w:rsidRDefault="00CC4BD7">
      <w:pPr>
        <w:pStyle w:val="Default"/>
        <w:rPr>
          <w:rFonts w:hAnsi="黑体"/>
          <w:b/>
          <w:sz w:val="32"/>
          <w:szCs w:val="32"/>
        </w:rPr>
      </w:pPr>
      <w:r>
        <w:rPr>
          <w:rFonts w:hAnsi="黑体" w:hint="eastAsia"/>
          <w:b/>
          <w:sz w:val="32"/>
          <w:szCs w:val="32"/>
        </w:rPr>
        <w:t>八、政府性基金预算收入支出决算情况</w:t>
      </w:r>
    </w:p>
    <w:p w:rsidR="00770494" w:rsidRDefault="00CC4BD7">
      <w:pPr>
        <w:pStyle w:val="Default"/>
        <w:rPr>
          <w:rFonts w:hAnsi="黑体"/>
          <w:b/>
          <w:sz w:val="32"/>
          <w:szCs w:val="32"/>
        </w:rPr>
      </w:pPr>
      <w:r>
        <w:rPr>
          <w:rFonts w:asciiTheme="minorEastAsia" w:eastAsiaTheme="minorEastAsia" w:hAnsiTheme="minorEastAsia" w:hint="eastAsia"/>
          <w:sz w:val="32"/>
          <w:szCs w:val="32"/>
        </w:rPr>
        <w:t xml:space="preserve">     2019年度政府性基金预算财政拨款收入0万元；年初结转和结余0万元；支出0万元，其中基本支出0万元，项目支出0万元；年末结转和结余0万元。</w:t>
      </w:r>
      <w:r>
        <w:rPr>
          <w:rFonts w:asciiTheme="minorEastAsia" w:eastAsiaTheme="minorEastAsia" w:hAnsiTheme="minorEastAsia" w:hint="eastAsia"/>
          <w:i/>
          <w:color w:val="FF0000"/>
          <w:sz w:val="32"/>
          <w:szCs w:val="32"/>
        </w:rPr>
        <w:t>\</w:t>
      </w:r>
      <w:r>
        <w:rPr>
          <w:rFonts w:hAnsi="黑体" w:hint="eastAsia"/>
          <w:b/>
          <w:sz w:val="32"/>
          <w:szCs w:val="32"/>
        </w:rPr>
        <w:t>九、关于2019年度预算绩效情况说明</w:t>
      </w:r>
    </w:p>
    <w:p w:rsidR="00770494" w:rsidRDefault="00CC4BD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本部门预算绩效管理开展情况、绩效目标和绩效评价报告附后。</w:t>
      </w:r>
    </w:p>
    <w:p w:rsidR="00770494" w:rsidRDefault="00CC4BD7">
      <w:pPr>
        <w:pStyle w:val="Default"/>
        <w:rPr>
          <w:rFonts w:hAnsi="黑体"/>
          <w:b/>
          <w:sz w:val="32"/>
          <w:szCs w:val="32"/>
        </w:rPr>
      </w:pPr>
      <w:r>
        <w:rPr>
          <w:rFonts w:hAnsi="黑体" w:hint="eastAsia"/>
          <w:b/>
          <w:sz w:val="32"/>
          <w:szCs w:val="32"/>
        </w:rPr>
        <w:t>十、其他重要事项情况说明</w:t>
      </w:r>
    </w:p>
    <w:p w:rsidR="00770494" w:rsidRDefault="00CC4BD7" w:rsidP="0034509A">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770494" w:rsidRDefault="00CC4BD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年度机关运行经费支出24.46万元，比年初预算数增加16.98万元，增长327%。主要原因是：增加了科技扶贫团工作经费</w:t>
      </w:r>
    </w:p>
    <w:p w:rsidR="00770494" w:rsidRDefault="00CC4BD7" w:rsidP="0034509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770494" w:rsidRDefault="00CC4BD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2019年本部门开支会议费0.05万元，用于召开党员会议，人数10人，内容为七一党员会议；开支培训费0.25万元，用于开展科技培训，人数50人，内容为科技下乡培训。</w:t>
      </w:r>
    </w:p>
    <w:p w:rsidR="00770494" w:rsidRDefault="00CC4BD7" w:rsidP="0034509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770494" w:rsidRDefault="00CC4BD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770494" w:rsidRDefault="00CC4BD7" w:rsidP="0034509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770494" w:rsidRDefault="00CC4BD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770494" w:rsidRDefault="00CC4BD7">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770494" w:rsidRDefault="00770494">
      <w:pPr>
        <w:ind w:firstLineChars="200" w:firstLine="640"/>
        <w:rPr>
          <w:rFonts w:asciiTheme="minorEastAsia" w:hAnsiTheme="minorEastAsia" w:cs="黑体"/>
          <w:color w:val="000000"/>
          <w:kern w:val="0"/>
          <w:sz w:val="32"/>
          <w:szCs w:val="3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CC4BD7">
      <w:pPr>
        <w:pStyle w:val="Default"/>
        <w:jc w:val="center"/>
        <w:rPr>
          <w:sz w:val="72"/>
          <w:szCs w:val="72"/>
        </w:rPr>
      </w:pPr>
      <w:r>
        <w:rPr>
          <w:rFonts w:hint="eastAsia"/>
          <w:sz w:val="72"/>
          <w:szCs w:val="72"/>
        </w:rPr>
        <w:t>第四部分</w:t>
      </w:r>
    </w:p>
    <w:p w:rsidR="00770494" w:rsidRDefault="00770494">
      <w:pPr>
        <w:jc w:val="center"/>
        <w:rPr>
          <w:rFonts w:ascii="黑体" w:eastAsia="黑体" w:cs="黑体"/>
          <w:color w:val="000000"/>
          <w:kern w:val="0"/>
          <w:sz w:val="70"/>
          <w:szCs w:val="70"/>
        </w:rPr>
      </w:pPr>
    </w:p>
    <w:p w:rsidR="00770494" w:rsidRDefault="00CC4BD7">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770494" w:rsidRDefault="00CC4BD7">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70494" w:rsidRDefault="00770494">
      <w:pPr>
        <w:ind w:firstLineChars="200" w:firstLine="640"/>
        <w:jc w:val="left"/>
        <w:rPr>
          <w:rFonts w:asciiTheme="minorEastAsia" w:hAnsiTheme="minorEastAsia" w:cs="黑体"/>
          <w:color w:val="000000"/>
          <w:kern w:val="0"/>
          <w:sz w:val="32"/>
          <w:szCs w:val="32"/>
        </w:rPr>
      </w:pPr>
    </w:p>
    <w:p w:rsidR="00770494" w:rsidRDefault="00CC4BD7">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770494" w:rsidRDefault="00CC4BD7">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770494" w:rsidRDefault="00770494">
      <w:pPr>
        <w:widowControl/>
        <w:spacing w:line="600" w:lineRule="exact"/>
        <w:rPr>
          <w:rFonts w:ascii="Times New Roman" w:eastAsia="黑体" w:hAnsi="Times New Roman" w:cs="Times New Roman"/>
          <w:bCs/>
          <w:kern w:val="0"/>
          <w:sz w:val="32"/>
          <w:szCs w:val="32"/>
        </w:rPr>
      </w:pPr>
    </w:p>
    <w:p w:rsidR="00770494" w:rsidRDefault="00CC4BD7">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770494">
      <w:pPr>
        <w:pStyle w:val="Default"/>
        <w:jc w:val="center"/>
        <w:rPr>
          <w:sz w:val="72"/>
          <w:szCs w:val="72"/>
        </w:rPr>
      </w:pPr>
    </w:p>
    <w:p w:rsidR="00770494" w:rsidRDefault="00CC4BD7">
      <w:pPr>
        <w:pStyle w:val="Default"/>
        <w:jc w:val="center"/>
        <w:rPr>
          <w:sz w:val="72"/>
          <w:szCs w:val="72"/>
        </w:rPr>
      </w:pPr>
      <w:r>
        <w:rPr>
          <w:rFonts w:hint="eastAsia"/>
          <w:sz w:val="72"/>
          <w:szCs w:val="72"/>
        </w:rPr>
        <w:t>第五部分</w:t>
      </w:r>
    </w:p>
    <w:p w:rsidR="00770494" w:rsidRDefault="00770494">
      <w:pPr>
        <w:jc w:val="center"/>
        <w:rPr>
          <w:rFonts w:ascii="黑体" w:eastAsia="黑体" w:cs="黑体"/>
          <w:color w:val="000000"/>
          <w:kern w:val="0"/>
          <w:sz w:val="70"/>
          <w:szCs w:val="70"/>
        </w:rPr>
      </w:pPr>
    </w:p>
    <w:p w:rsidR="00770494" w:rsidRDefault="00CC4BD7">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770494" w:rsidRDefault="00CC4BD7">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70494" w:rsidRDefault="00770494">
      <w:pPr>
        <w:jc w:val="center"/>
        <w:rPr>
          <w:rFonts w:ascii="黑体" w:eastAsia="黑体" w:cs="黑体"/>
          <w:color w:val="000000"/>
          <w:kern w:val="0"/>
          <w:sz w:val="70"/>
          <w:szCs w:val="70"/>
        </w:rPr>
      </w:pPr>
    </w:p>
    <w:p w:rsidR="00770494" w:rsidRDefault="00CC4BD7" w:rsidP="0034509A">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770494" w:rsidRDefault="00CC4BD7">
      <w:pPr>
        <w:numPr>
          <w:ilvl w:val="0"/>
          <w:numId w:val="2"/>
        </w:numPr>
        <w:spacing w:line="580" w:lineRule="exact"/>
        <w:rPr>
          <w:rFonts w:ascii="仿宋" w:eastAsia="仿宋" w:hAnsi="仿宋"/>
          <w:spacing w:val="-10"/>
          <w:sz w:val="32"/>
          <w:szCs w:val="32"/>
        </w:rPr>
      </w:pPr>
      <w:r>
        <w:rPr>
          <w:rFonts w:ascii="仿宋" w:eastAsia="仿宋" w:hAnsi="仿宋" w:hint="eastAsia"/>
          <w:b/>
          <w:spacing w:val="-10"/>
          <w:sz w:val="32"/>
          <w:szCs w:val="32"/>
        </w:rPr>
        <w:t>单位基本情况：</w:t>
      </w:r>
    </w:p>
    <w:p w:rsidR="00770494" w:rsidRDefault="00CC4BD7">
      <w:pPr>
        <w:spacing w:line="58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管理全区的科学技术成果，对科技三项经费等有关费用统一管理，合理使用。内设3个职能股室：办公室、高新技术发展与成果转化股、农村社会发展与科技人才股。在编在岗人员8人（其中行政编制4人，事业编制3人，工勤编制1人），退休人员9人。</w:t>
      </w:r>
    </w:p>
    <w:p w:rsidR="00770494" w:rsidRDefault="00CC4BD7">
      <w:pPr>
        <w:spacing w:line="580" w:lineRule="exact"/>
        <w:ind w:left="630"/>
        <w:rPr>
          <w:rFonts w:ascii="仿宋" w:eastAsia="仿宋" w:hAnsi="仿宋"/>
          <w:b/>
          <w:spacing w:val="-10"/>
          <w:sz w:val="32"/>
          <w:szCs w:val="32"/>
        </w:rPr>
      </w:pPr>
      <w:r>
        <w:rPr>
          <w:rFonts w:ascii="仿宋" w:eastAsia="仿宋" w:hAnsi="仿宋" w:hint="eastAsia"/>
          <w:b/>
          <w:spacing w:val="-10"/>
          <w:sz w:val="32"/>
          <w:szCs w:val="32"/>
        </w:rPr>
        <w:t>二、2019年度预算执行情况</w:t>
      </w:r>
    </w:p>
    <w:p w:rsidR="00770494" w:rsidRDefault="00CC4BD7">
      <w:pPr>
        <w:spacing w:line="58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1、2019年度收支决算情况：2019 年度收入总计</w:t>
      </w:r>
      <w:r>
        <w:rPr>
          <w:rFonts w:ascii="仿宋_GB2312" w:eastAsia="仿宋_GB2312" w:hAnsi="仿宋_GB2312" w:cs="仿宋_GB2312"/>
          <w:kern w:val="0"/>
          <w:sz w:val="32"/>
          <w:szCs w:val="32"/>
        </w:rPr>
        <w:t>192.16</w:t>
      </w:r>
      <w:r>
        <w:rPr>
          <w:rFonts w:ascii="仿宋_GB2312" w:eastAsia="仿宋_GB2312" w:hAnsi="仿宋_GB2312" w:cs="仿宋_GB2312" w:hint="eastAsia"/>
          <w:kern w:val="0"/>
          <w:sz w:val="32"/>
          <w:szCs w:val="32"/>
        </w:rPr>
        <w:t>万元、支出总计</w:t>
      </w:r>
      <w:r>
        <w:rPr>
          <w:rFonts w:ascii="仿宋_GB2312" w:eastAsia="仿宋_GB2312" w:hAnsi="仿宋_GB2312" w:cs="仿宋_GB2312"/>
          <w:kern w:val="0"/>
          <w:sz w:val="32"/>
          <w:szCs w:val="32"/>
        </w:rPr>
        <w:t>214.46</w:t>
      </w:r>
      <w:r>
        <w:rPr>
          <w:rFonts w:ascii="仿宋_GB2312" w:eastAsia="仿宋_GB2312" w:hAnsi="仿宋_GB2312" w:cs="仿宋_GB2312" w:hint="eastAsia"/>
          <w:kern w:val="0"/>
          <w:sz w:val="32"/>
          <w:szCs w:val="32"/>
        </w:rPr>
        <w:t>万元，其中人员经费</w:t>
      </w:r>
      <w:r>
        <w:rPr>
          <w:rFonts w:asciiTheme="minorEastAsia" w:hAnsiTheme="minorEastAsia" w:hint="eastAsia"/>
          <w:sz w:val="32"/>
          <w:szCs w:val="32"/>
        </w:rPr>
        <w:t>99.65</w:t>
      </w:r>
      <w:r>
        <w:rPr>
          <w:rFonts w:ascii="仿宋_GB2312" w:eastAsia="仿宋_GB2312" w:hAnsi="仿宋_GB2312" w:cs="仿宋_GB2312" w:hint="eastAsia"/>
          <w:kern w:val="0"/>
          <w:sz w:val="32"/>
          <w:szCs w:val="32"/>
        </w:rPr>
        <w:t xml:space="preserve">   万元，公用经费</w:t>
      </w:r>
      <w:r>
        <w:rPr>
          <w:rFonts w:asciiTheme="minorEastAsia" w:hAnsiTheme="minorEastAsia" w:hint="eastAsia"/>
          <w:sz w:val="32"/>
          <w:szCs w:val="32"/>
        </w:rPr>
        <w:t>24.46</w:t>
      </w:r>
      <w:r>
        <w:rPr>
          <w:rFonts w:ascii="仿宋_GB2312" w:eastAsia="仿宋_GB2312" w:hAnsi="仿宋_GB2312" w:cs="仿宋_GB2312" w:hint="eastAsia"/>
          <w:kern w:val="0"/>
          <w:sz w:val="32"/>
          <w:szCs w:val="32"/>
        </w:rPr>
        <w:t xml:space="preserve">  万元。</w:t>
      </w:r>
    </w:p>
    <w:p w:rsidR="00770494" w:rsidRDefault="00CC4BD7">
      <w:pPr>
        <w:spacing w:line="58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2、2019年度一般公共预算财政拔款支出情况：2019年预算数支出数264.19  万元，其中人员经费119.11  万元，公用经费7.48万元 。</w:t>
      </w:r>
    </w:p>
    <w:p w:rsidR="00770494" w:rsidRDefault="00CC4BD7">
      <w:pPr>
        <w:spacing w:line="58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3、2019年度“三公经费”情况如下：我局贯彻落实厉行节约、严控“三公经费”，2019年“三公经费”预算数是3万元，决算数是0.09万元，没有超过标准。</w:t>
      </w:r>
    </w:p>
    <w:p w:rsidR="00770494" w:rsidRDefault="00770494">
      <w:pPr>
        <w:spacing w:line="580" w:lineRule="exact"/>
        <w:ind w:leftChars="304" w:left="5441" w:hangingChars="1601" w:hanging="4803"/>
        <w:jc w:val="left"/>
        <w:rPr>
          <w:rFonts w:ascii="仿宋_GB2312" w:eastAsia="仿宋_GB2312" w:hAnsi="仿宋_GB2312" w:cs="仿宋_GB2312"/>
          <w:spacing w:val="-10"/>
          <w:sz w:val="32"/>
          <w:szCs w:val="32"/>
        </w:rPr>
      </w:pPr>
    </w:p>
    <w:p w:rsidR="00770494" w:rsidRDefault="00770494" w:rsidP="00770494">
      <w:pPr>
        <w:ind w:firstLineChars="200" w:firstLine="640"/>
        <w:jc w:val="left"/>
        <w:rPr>
          <w:rFonts w:asciiTheme="minorEastAsia" w:hAnsiTheme="minorEastAsia" w:cs="黑体"/>
          <w:color w:val="000000"/>
          <w:kern w:val="0"/>
          <w:sz w:val="32"/>
          <w:szCs w:val="32"/>
        </w:rPr>
      </w:pPr>
    </w:p>
    <w:sectPr w:rsidR="00770494" w:rsidSect="00770494">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375" w:rsidRDefault="004A5375" w:rsidP="0034509A">
      <w:r>
        <w:separator/>
      </w:r>
    </w:p>
  </w:endnote>
  <w:endnote w:type="continuationSeparator" w:id="1">
    <w:p w:rsidR="004A5375" w:rsidRDefault="004A5375" w:rsidP="003450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375" w:rsidRDefault="004A5375" w:rsidP="0034509A">
      <w:r>
        <w:separator/>
      </w:r>
    </w:p>
  </w:footnote>
  <w:footnote w:type="continuationSeparator" w:id="1">
    <w:p w:rsidR="004A5375" w:rsidRDefault="004A5375" w:rsidP="003450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A26FB"/>
    <w:multiLevelType w:val="multilevel"/>
    <w:tmpl w:val="2CAA26FB"/>
    <w:lvl w:ilvl="0">
      <w:start w:val="1"/>
      <w:numFmt w:val="japaneseCounting"/>
      <w:lvlText w:val="%1、"/>
      <w:lvlJc w:val="left"/>
      <w:pPr>
        <w:tabs>
          <w:tab w:val="left" w:pos="1350"/>
        </w:tabs>
        <w:ind w:left="1350" w:hanging="720"/>
      </w:pPr>
      <w:rPr>
        <w:rFonts w:hAnsi="Times New Roman" w:hint="default"/>
        <w:b/>
      </w:rPr>
    </w:lvl>
    <w:lvl w:ilvl="1">
      <w:start w:val="1"/>
      <w:numFmt w:val="lowerLetter"/>
      <w:lvlText w:val="%2)"/>
      <w:lvlJc w:val="left"/>
      <w:pPr>
        <w:tabs>
          <w:tab w:val="left" w:pos="1470"/>
        </w:tabs>
        <w:ind w:left="1470" w:hanging="420"/>
      </w:pPr>
    </w:lvl>
    <w:lvl w:ilvl="2">
      <w:start w:val="1"/>
      <w:numFmt w:val="lowerRoman"/>
      <w:lvlText w:val="%3."/>
      <w:lvlJc w:val="right"/>
      <w:pPr>
        <w:tabs>
          <w:tab w:val="left" w:pos="1890"/>
        </w:tabs>
        <w:ind w:left="1890" w:hanging="420"/>
      </w:pPr>
    </w:lvl>
    <w:lvl w:ilvl="3">
      <w:start w:val="1"/>
      <w:numFmt w:val="decimal"/>
      <w:lvlText w:val="%4."/>
      <w:lvlJc w:val="left"/>
      <w:pPr>
        <w:tabs>
          <w:tab w:val="left" w:pos="2310"/>
        </w:tabs>
        <w:ind w:left="2310" w:hanging="420"/>
      </w:pPr>
    </w:lvl>
    <w:lvl w:ilvl="4">
      <w:start w:val="1"/>
      <w:numFmt w:val="lowerLetter"/>
      <w:lvlText w:val="%5)"/>
      <w:lvlJc w:val="left"/>
      <w:pPr>
        <w:tabs>
          <w:tab w:val="left" w:pos="2730"/>
        </w:tabs>
        <w:ind w:left="2730" w:hanging="420"/>
      </w:pPr>
    </w:lvl>
    <w:lvl w:ilvl="5">
      <w:start w:val="1"/>
      <w:numFmt w:val="lowerRoman"/>
      <w:lvlText w:val="%6."/>
      <w:lvlJc w:val="right"/>
      <w:pPr>
        <w:tabs>
          <w:tab w:val="left" w:pos="3150"/>
        </w:tabs>
        <w:ind w:left="3150" w:hanging="420"/>
      </w:pPr>
    </w:lvl>
    <w:lvl w:ilvl="6">
      <w:start w:val="1"/>
      <w:numFmt w:val="decimal"/>
      <w:lvlText w:val="%7."/>
      <w:lvlJc w:val="left"/>
      <w:pPr>
        <w:tabs>
          <w:tab w:val="left" w:pos="3570"/>
        </w:tabs>
        <w:ind w:left="3570" w:hanging="420"/>
      </w:pPr>
    </w:lvl>
    <w:lvl w:ilvl="7">
      <w:start w:val="1"/>
      <w:numFmt w:val="lowerLetter"/>
      <w:lvlText w:val="%8)"/>
      <w:lvlJc w:val="left"/>
      <w:pPr>
        <w:tabs>
          <w:tab w:val="left" w:pos="3990"/>
        </w:tabs>
        <w:ind w:left="3990" w:hanging="420"/>
      </w:pPr>
    </w:lvl>
    <w:lvl w:ilvl="8">
      <w:start w:val="1"/>
      <w:numFmt w:val="lowerRoman"/>
      <w:lvlText w:val="%9."/>
      <w:lvlJc w:val="right"/>
      <w:pPr>
        <w:tabs>
          <w:tab w:val="left" w:pos="4410"/>
        </w:tabs>
        <w:ind w:left="4410" w:hanging="420"/>
      </w:pPr>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45D89"/>
    <w:rsid w:val="000472E5"/>
    <w:rsid w:val="000658A3"/>
    <w:rsid w:val="00074155"/>
    <w:rsid w:val="000A3F69"/>
    <w:rsid w:val="000E2C2C"/>
    <w:rsid w:val="00152C6D"/>
    <w:rsid w:val="00162D39"/>
    <w:rsid w:val="00191EAB"/>
    <w:rsid w:val="001A44A2"/>
    <w:rsid w:val="001A67DB"/>
    <w:rsid w:val="001D3827"/>
    <w:rsid w:val="001D51E5"/>
    <w:rsid w:val="001E0CD3"/>
    <w:rsid w:val="001F0C3B"/>
    <w:rsid w:val="002055DB"/>
    <w:rsid w:val="00214427"/>
    <w:rsid w:val="002430F3"/>
    <w:rsid w:val="00265724"/>
    <w:rsid w:val="0027426B"/>
    <w:rsid w:val="002B2362"/>
    <w:rsid w:val="0034509A"/>
    <w:rsid w:val="003479BD"/>
    <w:rsid w:val="003551B9"/>
    <w:rsid w:val="003768D5"/>
    <w:rsid w:val="003A60C6"/>
    <w:rsid w:val="004506F9"/>
    <w:rsid w:val="004717A2"/>
    <w:rsid w:val="00491741"/>
    <w:rsid w:val="004A5375"/>
    <w:rsid w:val="00500E5F"/>
    <w:rsid w:val="00505594"/>
    <w:rsid w:val="005122EF"/>
    <w:rsid w:val="00517C33"/>
    <w:rsid w:val="00523644"/>
    <w:rsid w:val="00532D86"/>
    <w:rsid w:val="0054069E"/>
    <w:rsid w:val="005615A2"/>
    <w:rsid w:val="00570438"/>
    <w:rsid w:val="005767CC"/>
    <w:rsid w:val="00590D9F"/>
    <w:rsid w:val="00595D26"/>
    <w:rsid w:val="005A74E6"/>
    <w:rsid w:val="005C4F13"/>
    <w:rsid w:val="005D4D55"/>
    <w:rsid w:val="005E2CFB"/>
    <w:rsid w:val="0062378F"/>
    <w:rsid w:val="00651EEC"/>
    <w:rsid w:val="00652413"/>
    <w:rsid w:val="006A351B"/>
    <w:rsid w:val="006B0422"/>
    <w:rsid w:val="006C1B53"/>
    <w:rsid w:val="006D7730"/>
    <w:rsid w:val="006E5284"/>
    <w:rsid w:val="006F3EB5"/>
    <w:rsid w:val="00702E34"/>
    <w:rsid w:val="0070322D"/>
    <w:rsid w:val="00704395"/>
    <w:rsid w:val="00720FF1"/>
    <w:rsid w:val="00722FE5"/>
    <w:rsid w:val="00770494"/>
    <w:rsid w:val="007B16C0"/>
    <w:rsid w:val="007F39FF"/>
    <w:rsid w:val="00802206"/>
    <w:rsid w:val="00812ED5"/>
    <w:rsid w:val="00814336"/>
    <w:rsid w:val="008277D9"/>
    <w:rsid w:val="008A3E8D"/>
    <w:rsid w:val="009237C4"/>
    <w:rsid w:val="00950252"/>
    <w:rsid w:val="00956C99"/>
    <w:rsid w:val="00967F5D"/>
    <w:rsid w:val="00985EE1"/>
    <w:rsid w:val="009A0F95"/>
    <w:rsid w:val="009B3ADF"/>
    <w:rsid w:val="009C3B52"/>
    <w:rsid w:val="009C50D2"/>
    <w:rsid w:val="009D3B28"/>
    <w:rsid w:val="00A16D5B"/>
    <w:rsid w:val="00A20151"/>
    <w:rsid w:val="00A42218"/>
    <w:rsid w:val="00A52F3A"/>
    <w:rsid w:val="00A70249"/>
    <w:rsid w:val="00B0354A"/>
    <w:rsid w:val="00B26259"/>
    <w:rsid w:val="00B33BEA"/>
    <w:rsid w:val="00B57C9F"/>
    <w:rsid w:val="00B845B3"/>
    <w:rsid w:val="00B85D8B"/>
    <w:rsid w:val="00BC7861"/>
    <w:rsid w:val="00BE3674"/>
    <w:rsid w:val="00BE6101"/>
    <w:rsid w:val="00C3049A"/>
    <w:rsid w:val="00C31B1E"/>
    <w:rsid w:val="00C5359D"/>
    <w:rsid w:val="00C55C20"/>
    <w:rsid w:val="00C77645"/>
    <w:rsid w:val="00CC4BD7"/>
    <w:rsid w:val="00CE04C3"/>
    <w:rsid w:val="00CE76A0"/>
    <w:rsid w:val="00CF7EE1"/>
    <w:rsid w:val="00D148C6"/>
    <w:rsid w:val="00DB491F"/>
    <w:rsid w:val="00DD06FF"/>
    <w:rsid w:val="00DD5FE9"/>
    <w:rsid w:val="00E00C7A"/>
    <w:rsid w:val="00E03E0D"/>
    <w:rsid w:val="00E55B68"/>
    <w:rsid w:val="00E57C4F"/>
    <w:rsid w:val="00E90071"/>
    <w:rsid w:val="00F74360"/>
    <w:rsid w:val="00FB462F"/>
    <w:rsid w:val="00FB4EDA"/>
    <w:rsid w:val="00FE16FA"/>
    <w:rsid w:val="00FE328A"/>
    <w:rsid w:val="01B042B8"/>
    <w:rsid w:val="36CA5FC8"/>
    <w:rsid w:val="371763B7"/>
    <w:rsid w:val="49BA75B7"/>
    <w:rsid w:val="570A0B00"/>
    <w:rsid w:val="61612FA8"/>
    <w:rsid w:val="63437A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4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70494"/>
    <w:rPr>
      <w:sz w:val="18"/>
      <w:szCs w:val="18"/>
    </w:rPr>
  </w:style>
  <w:style w:type="paragraph" w:styleId="a4">
    <w:name w:val="footer"/>
    <w:basedOn w:val="a"/>
    <w:link w:val="Char0"/>
    <w:uiPriority w:val="99"/>
    <w:unhideWhenUsed/>
    <w:rsid w:val="0077049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7049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770494"/>
    <w:rPr>
      <w:sz w:val="18"/>
      <w:szCs w:val="18"/>
    </w:rPr>
  </w:style>
  <w:style w:type="character" w:customStyle="1" w:styleId="Char0">
    <w:name w:val="页脚 Char"/>
    <w:basedOn w:val="a0"/>
    <w:link w:val="a4"/>
    <w:uiPriority w:val="99"/>
    <w:qFormat/>
    <w:rsid w:val="00770494"/>
    <w:rPr>
      <w:sz w:val="18"/>
      <w:szCs w:val="18"/>
    </w:rPr>
  </w:style>
  <w:style w:type="paragraph" w:customStyle="1" w:styleId="Default">
    <w:name w:val="Default"/>
    <w:qFormat/>
    <w:rsid w:val="00770494"/>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770494"/>
    <w:pPr>
      <w:ind w:firstLineChars="200" w:firstLine="420"/>
    </w:pPr>
  </w:style>
  <w:style w:type="character" w:customStyle="1" w:styleId="Char">
    <w:name w:val="批注框文本 Char"/>
    <w:basedOn w:val="a0"/>
    <w:link w:val="a3"/>
    <w:uiPriority w:val="99"/>
    <w:semiHidden/>
    <w:qFormat/>
    <w:rsid w:val="0077049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374D37-1888-47C8-82FF-BBDD32B42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687</Words>
  <Characters>3916</Characters>
  <Application>Microsoft Office Word</Application>
  <DocSecurity>0</DocSecurity>
  <Lines>32</Lines>
  <Paragraphs>9</Paragraphs>
  <ScaleCrop>false</ScaleCrop>
  <Company>Microsoft</Company>
  <LinksUpToDate>false</LinksUpToDate>
  <CharactersWithSpaces>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2021-06-05T10:20:00Z</dcterms:created>
  <dcterms:modified xsi:type="dcterms:W3CDTF">2021-06-05T10:20:00Z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62E3A43B260946B4881BC02EB9BB325F</vt:lpwstr>
  </property>
</Properties>
</file>