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中共怀化市鹤城区委政法委员会部门决算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第一部分鹤城区委政法委概况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鹤城区委政法委概况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asciiTheme="minorEastAsia" w:hAnsiTheme="minorEastAsia" w:cstheme="minorEastAsia"/>
          <w:sz w:val="32"/>
          <w:szCs w:val="32"/>
        </w:rPr>
        <w:t>根据党的路线方针和中央、省、市委政法委以及区委、区政府对政法综治工作的部署，统一政法综治各部门的思想和行动；</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（二）对一定时期内的全区政法综治工作做出全局性部署，并督促贯彻落实；</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（三）组织协调、指导维护全区社会稳定的工作；</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（四）检查政法各部门执行法律、法规和党的方针、政策的情况，结合实际，研究制定严格执法、落实党的方针和政策的具体措施；</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（五）大力支持和严格监督政法各部门依法行使职权，指导和协调政法各部门在依法相互制约的同时密切配合，督促、推动大案要案的查处工作，研究、协调有争议的重大疑难案件；</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（六）组织、协调社会治安综合治理工作，推动各项措施的落实；开展全区禁毒工作、国家安全、民调工作；</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（七）组织推动政法综治方面的调研和宣传工作，探索政法综治工作改革，研究政法综治工作理论、政策及有关重大问题；</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（八）研究加强政法队伍建设和领导班子建设的措施；协助区委及其组织部门考察、管理区政法部门的领导干部；协助纪检、监察部门查处涉及政法领导干部的案件，加强政法干部队伍执法监督工作；</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（九）指导各街道乡镇社会治安综合治理办公室的工作；</w:t>
      </w:r>
    </w:p>
    <w:p>
      <w:pPr>
        <w:spacing w:line="480" w:lineRule="auto"/>
        <w:ind w:firstLine="640" w:firstLineChars="200"/>
        <w:jc w:val="left"/>
        <w:rPr>
          <w:rFonts w:asciiTheme="minorEastAsia" w:hAnsiTheme="minorEastAsia"/>
          <w:sz w:val="32"/>
          <w:szCs w:val="32"/>
        </w:rPr>
      </w:pPr>
      <w:r>
        <w:rPr>
          <w:rFonts w:hint="eastAsia" w:asciiTheme="minorEastAsia" w:hAnsiTheme="minorEastAsia"/>
          <w:sz w:val="32"/>
          <w:szCs w:val="32"/>
        </w:rPr>
        <w:t>（十）办理区委、区政府和市委政法委、市综治办交办的其他事项。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480" w:lineRule="auto"/>
        <w:ind w:firstLine="640" w:firstLineChars="200"/>
        <w:jc w:val="left"/>
        <w:rPr>
          <w:rFonts w:asciiTheme="minorEastAsia" w:hAnsiTheme="minorEastAsia" w:cstheme="minorEastAsia"/>
          <w:sz w:val="32"/>
          <w:szCs w:val="32"/>
        </w:rPr>
      </w:pPr>
      <w:r>
        <w:rPr>
          <w:rFonts w:hint="eastAsia" w:asciiTheme="minorEastAsia" w:hAnsiTheme="minorEastAsia"/>
          <w:bCs/>
          <w:kern w:val="0"/>
          <w:sz w:val="32"/>
          <w:szCs w:val="32"/>
        </w:rPr>
        <w:t>（一）内设机构设置。鹤城区委政法委内设机构包括：</w:t>
      </w:r>
      <w:r>
        <w:rPr>
          <w:rFonts w:hint="eastAsia" w:asciiTheme="minorEastAsia" w:hAnsiTheme="minorEastAsia" w:cstheme="minorEastAsia"/>
          <w:sz w:val="32"/>
          <w:szCs w:val="32"/>
        </w:rPr>
        <w:t>维稳指导室、综治办、反邪办、铁护办、宣教办、办公室、政工室、执法监督室、人防办。</w:t>
      </w:r>
    </w:p>
    <w:p>
      <w:pPr>
        <w:spacing w:line="480" w:lineRule="auto"/>
        <w:ind w:firstLine="640" w:firstLineChars="200"/>
        <w:jc w:val="left"/>
        <w:rPr>
          <w:rFonts w:asciiTheme="minorEastAsia" w:hAnsiTheme="minorEastAsia"/>
          <w:bCs/>
          <w:kern w:val="0"/>
          <w:sz w:val="32"/>
          <w:szCs w:val="32"/>
        </w:rPr>
      </w:pPr>
      <w:r>
        <w:rPr>
          <w:rFonts w:hint="eastAsia" w:asciiTheme="minorEastAsia" w:hAnsiTheme="minorEastAsia"/>
          <w:bCs/>
          <w:kern w:val="0"/>
          <w:sz w:val="32"/>
          <w:szCs w:val="32"/>
        </w:rPr>
        <w:t>（二）决算单位构成。鹤城区委政法委2019年部门决算汇总公开单位构成包括：鹤城区委政法委单位本级。</w:t>
      </w:r>
    </w:p>
    <w:p>
      <w:pPr>
        <w:spacing w:line="480" w:lineRule="auto"/>
        <w:ind w:firstLine="640" w:firstLineChars="200"/>
        <w:jc w:val="left"/>
        <w:rPr>
          <w:rFonts w:asciiTheme="minorEastAsia" w:hAnsiTheme="minorEastAsia"/>
          <w:bCs/>
          <w:kern w:val="0"/>
          <w:sz w:val="32"/>
          <w:szCs w:val="32"/>
        </w:rPr>
      </w:pPr>
    </w:p>
    <w:p>
      <w:pPr>
        <w:spacing w:line="480" w:lineRule="auto"/>
        <w:ind w:firstLine="640" w:firstLineChars="200"/>
        <w:jc w:val="left"/>
        <w:rPr>
          <w:rFonts w:asciiTheme="minorEastAsia" w:hAnsiTheme="minorEastAsia"/>
          <w:bCs/>
          <w:kern w:val="0"/>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2019年度收入总计586.36万元。与2018年相比，减少256.9万元，减少30.47%，主要是因为2019年2019年机构改革禁毒办划出，人员减少。</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2019年度支出总计589.13万元。与2018年相比，减少265.51万元，增减少31.07%，主要是因为2019年2019年机构改革禁毒办划出，人员减少；严格贯彻落实财政局文件精神，压减一般性支出。</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本年收入合计586.36万元，其中：财政拨款收入586.36万元，占100%；上级补助收入0万元，占0%；事业收入0万元，占0%；经营收入0万元，占0%；附属单位上缴收入0万元，占0%；其他收入0万元，占0%。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本年支出合计589.13万元，其中：基本支出370.92万元，占62.96%；项目支出218.21万元，占37.04%；上缴上级支出0万元，占0%；经营支出0万元，占0%；对附属单位补助支出0万元，占0%。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2019年度财政拨款收入总计586.36万元，与2018年相比，增减少251.9万元,减少30.05%，主要是因为2019年2019年机构改革禁毒办划出，人员减少。</w:t>
      </w:r>
    </w:p>
    <w:p>
      <w:pPr>
        <w:pStyle w:val="9"/>
        <w:ind w:firstLine="64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2019年度财政拨款支出总计589.13万元，与2018年相比，减少265.51万元,减少31.07%，主要是因为2019年2019年机构改革禁毒办划出，人员减少；严格贯彻落实财政局文件精神，压减一般性支出。</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2019年度财政拨款支出589.13万元，占本年支出合计的100%，与2018年相比，财政拨款支出增加减少265.51万元,减少31.07%，主要是因为2019年2019年机构改革禁毒办划出，人员减少；严格贯彻落实财政局文件精神，压减一般性支出。</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2019年度财政拨款支出589.13万元，主要用于以下方面：一般公共服务201（类）支出530.48万元，占90.04%；社会保障和就业208（类）支出29.32万元，占4.98%;卫生健康210（类）支出11.7</w:t>
      </w:r>
      <w:r>
        <w:rPr>
          <w:rFonts w:hint="eastAsia" w:asciiTheme="minorEastAsia" w:hAnsiTheme="minorEastAsia" w:eastAsiaTheme="minorEastAsia"/>
          <w:color w:val="auto"/>
          <w:sz w:val="32"/>
          <w:szCs w:val="32"/>
        </w:rPr>
        <w:t>3</w:t>
      </w:r>
      <w:r>
        <w:rPr>
          <w:rFonts w:hint="eastAsia" w:asciiTheme="minorEastAsia" w:hAnsiTheme="minorEastAsia" w:eastAsiaTheme="minorEastAsia"/>
          <w:sz w:val="32"/>
          <w:szCs w:val="32"/>
        </w:rPr>
        <w:t>万元，占1.99%；住房保障221（类）支出17.59万元，占2.99%。</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2019年度财政拨款支出年初预算数为1849.33万元，支出决算数为589.13万元，完成年初预算的31.86%，其中：</w:t>
      </w:r>
    </w:p>
    <w:p>
      <w:pPr>
        <w:pStyle w:val="9"/>
        <w:ind w:firstLine="800" w:firstLineChars="25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1、一般公共服务支出：信访事务201（类）03（款）08（项）。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年初预算为10万元，支出决算为9.72万元，完成年初预算的97.2%。</w:t>
      </w:r>
    </w:p>
    <w:p>
      <w:pPr>
        <w:pStyle w:val="9"/>
        <w:ind w:firstLine="800" w:firstLineChars="25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2、一般公共服务支出：行政运行201（类）31（款）01（项）。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年初预算为193.02万元，支出决算为261.85万元，完成年初预算的135.66%，决算数大于年初预算数的主要原因是：2019年机构改革610办并入以及新转入人员，年初均未安排预算。</w:t>
      </w:r>
    </w:p>
    <w:p>
      <w:pPr>
        <w:pStyle w:val="9"/>
        <w:ind w:firstLine="800" w:firstLineChars="25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3、一般公共服务支出：一般行政管理事务201（类）31（款）02（项）。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年初预算为184.22万元，支出决算为218.21万元，完成年初预算的118.41%，决算数小于年初预算数的主要原因是：追加扫黑除恶专项经费。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4、一般公共服务支出：其他一般公共服务支出201（类）99（款）99（项）。</w:t>
      </w:r>
    </w:p>
    <w:p>
      <w:pPr>
        <w:pStyle w:val="9"/>
        <w:ind w:firstLine="800" w:firstLineChars="25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年初预算为40.7万元，支出决算为40.7万元，完成年初预算的100%，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社会保障和就业支出：机关事业单位基本养老保险缴费支出208（类）05(款）05（项）。</w:t>
      </w:r>
    </w:p>
    <w:p>
      <w:pPr>
        <w:pStyle w:val="9"/>
        <w:ind w:firstLine="640"/>
        <w:rPr>
          <w:rFonts w:asciiTheme="minorEastAsia" w:hAnsiTheme="minorEastAsia" w:eastAsiaTheme="minorEastAsia"/>
          <w:sz w:val="32"/>
          <w:szCs w:val="32"/>
          <w:highlight w:val="cyan"/>
        </w:rPr>
      </w:pPr>
      <w:r>
        <w:rPr>
          <w:rFonts w:hint="eastAsia" w:asciiTheme="minorEastAsia" w:hAnsiTheme="minorEastAsia" w:eastAsiaTheme="minorEastAsia"/>
          <w:sz w:val="32"/>
          <w:szCs w:val="32"/>
        </w:rPr>
        <w:t>年初预算为29.32万元，支出决算为29.32万元，完成年初预算的100%。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卫生健康支出：行政单位医疗210（类）11(款）01（项）。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年初预算为11.7</w:t>
      </w:r>
      <w:r>
        <w:rPr>
          <w:rFonts w:hint="eastAsia" w:asciiTheme="minorEastAsia" w:hAnsiTheme="minorEastAsia" w:eastAsiaTheme="minorEastAsia"/>
          <w:color w:val="auto"/>
          <w:sz w:val="32"/>
          <w:szCs w:val="32"/>
        </w:rPr>
        <w:t>3</w:t>
      </w:r>
      <w:r>
        <w:rPr>
          <w:rFonts w:hint="eastAsia" w:asciiTheme="minorEastAsia" w:hAnsiTheme="minorEastAsia" w:eastAsiaTheme="minorEastAsia"/>
          <w:sz w:val="32"/>
          <w:szCs w:val="32"/>
        </w:rPr>
        <w:t>万元，支出决算为11.7</w:t>
      </w:r>
      <w:r>
        <w:rPr>
          <w:rFonts w:hint="eastAsia" w:asciiTheme="minorEastAsia" w:hAnsiTheme="minorEastAsia" w:eastAsiaTheme="minorEastAsia"/>
          <w:color w:val="auto"/>
          <w:sz w:val="32"/>
          <w:szCs w:val="32"/>
        </w:rPr>
        <w:t>3</w:t>
      </w:r>
      <w:r>
        <w:rPr>
          <w:rFonts w:hint="eastAsia" w:asciiTheme="minorEastAsia" w:hAnsiTheme="minorEastAsia" w:eastAsiaTheme="minorEastAsia"/>
          <w:sz w:val="32"/>
          <w:szCs w:val="32"/>
        </w:rPr>
        <w:t>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住房保障支出：住房公积金221（类）02(款）01（项）。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年初预算为17.59万元，支出决算为17.59万元，完成年初预算的100%。</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370.92万元，其中：人员经费312.77万元，占基本支出的84.32%,主要包括基本工资、津贴补贴、奖金、伙食补助费；公用经费58.16万元，占基本支出的15.68%，主要包括办公费、印刷费、手续费。</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“三公”经费财政拨款支出预算为17.2万元，支出决算为2.25万元，完成预算的13.08%，其中：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p>
    <w:p>
      <w:pPr>
        <w:ind w:firstLine="709"/>
        <w:rPr>
          <w:rFonts w:asciiTheme="minorEastAsia" w:hAnsiTheme="minorEastAsia"/>
          <w:sz w:val="32"/>
          <w:szCs w:val="32"/>
        </w:rPr>
      </w:pPr>
      <w:r>
        <w:rPr>
          <w:rFonts w:hint="eastAsia" w:asciiTheme="minorEastAsia" w:hAnsiTheme="minorEastAsia"/>
          <w:sz w:val="32"/>
          <w:szCs w:val="32"/>
        </w:rPr>
        <w:t>公务接待费支出预算为7.2万元，支出决算为2.25万元，完成预算的31.25%，决算数小于年初预算数的主要原因是公务接待减少，与上年相比增加0.54万元，增长31.58%,增长的主要原因是2019年扫黑除恶专项任务繁重，公务接待增加以及机构改革610办并入政法委。</w:t>
      </w:r>
    </w:p>
    <w:p>
      <w:pPr>
        <w:pStyle w:val="9"/>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sz w:val="32"/>
          <w:szCs w:val="32"/>
        </w:rPr>
        <w:t>公务用车购置费及运行维护费支出预算为10万元，支出决算为0万元，完成预算的0%，决算数小于年初预算数的主要原因是公车改革后没有公车，与上年相比减少0.43万元，减少100%,减少的主要原因是</w:t>
      </w:r>
      <w:r>
        <w:rPr>
          <w:rFonts w:hint="eastAsia" w:asciiTheme="minorEastAsia" w:hAnsiTheme="minorEastAsia" w:eastAsiaTheme="minorEastAsia" w:cstheme="minorEastAsia"/>
          <w:bCs/>
          <w:color w:val="auto"/>
          <w:sz w:val="32"/>
          <w:szCs w:val="32"/>
        </w:rPr>
        <w:t>2019年车改后公务用车由公车办管理</w:t>
      </w:r>
      <w:r>
        <w:rPr>
          <w:rFonts w:hint="eastAsia" w:asciiTheme="minorEastAsia" w:hAnsiTheme="minorEastAsia" w:eastAsiaTheme="minorEastAsia" w:cstheme="minorEastAsia"/>
          <w:sz w:val="32"/>
          <w:szCs w:val="32"/>
        </w:rPr>
        <w:t>。</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2019年度“三公”经费财政拨款支出决算中，公务接待费支出决算2.25万元，占100%,因公出国（境）费支出决算0万元，占0%,公务用车购置费及运行维护费支出决算0万元，占0%。其中：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2、公务接待费支出决算为2.25万元，全年共接待来访团组72个、来宾560人次，主要是外单位考察学习发生的接待支出。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3、公务用车购置费及运行维护费支出决算为0万元，其中：公务用车购置费0万元，区委政法委更新公务用车0辆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2019年度政府性基金预算财政拨款收入0万元；年初结转和结余0万元；支出0万元，其中基本支出0万元，项目支出0万元；年末结转和结余0万元。本单位无政府性基金收支。</w:t>
      </w:r>
    </w:p>
    <w:p>
      <w:pPr>
        <w:pStyle w:val="9"/>
        <w:rPr>
          <w:rFonts w:hAnsi="黑体"/>
          <w:b/>
          <w:sz w:val="32"/>
          <w:szCs w:val="32"/>
        </w:rPr>
      </w:pPr>
      <w:r>
        <w:rPr>
          <w:rFonts w:hint="eastAsia" w:hAnsi="黑体"/>
          <w:b/>
          <w:sz w:val="32"/>
          <w:szCs w:val="32"/>
        </w:rPr>
        <w:t>九、关于2019年度预算绩效情况说明</w:t>
      </w:r>
    </w:p>
    <w:p>
      <w:pPr>
        <w:widowControl/>
        <w:spacing w:line="499" w:lineRule="auto"/>
        <w:ind w:firstLine="640" w:firstLineChars="200"/>
        <w:jc w:val="left"/>
        <w:rPr>
          <w:rFonts w:ascii="仿宋_GB2312" w:eastAsia="仿宋_GB2312"/>
          <w:sz w:val="32"/>
          <w:szCs w:val="32"/>
          <w:highlight w:val="yellow"/>
        </w:rPr>
      </w:pPr>
      <w:r>
        <w:rPr>
          <w:rFonts w:hint="eastAsia" w:eastAsia="仿宋_GB2312"/>
          <w:sz w:val="32"/>
          <w:szCs w:val="32"/>
        </w:rPr>
        <w:t>按照我区预算绩效管理工作的总体要求，</w:t>
      </w:r>
      <w:r>
        <w:rPr>
          <w:rFonts w:eastAsia="仿宋_GB2312"/>
          <w:sz w:val="32"/>
          <w:szCs w:val="32"/>
        </w:rPr>
        <w:t>2019</w:t>
      </w:r>
      <w:r>
        <w:rPr>
          <w:rFonts w:hint="eastAsia" w:eastAsia="仿宋_GB2312"/>
          <w:sz w:val="32"/>
          <w:szCs w:val="32"/>
        </w:rPr>
        <w:t>年我单位整体支出</w:t>
      </w:r>
      <w:r>
        <w:rPr>
          <w:rFonts w:hint="eastAsia" w:ascii="仿宋_GB2312" w:hAnsi="仿宋_GB2312" w:eastAsia="仿宋_GB2312" w:cs="仿宋_GB2312"/>
          <w:sz w:val="32"/>
          <w:szCs w:val="32"/>
        </w:rPr>
        <w:t>1849.32568万元</w:t>
      </w:r>
      <w:r>
        <w:rPr>
          <w:rFonts w:hint="eastAsia" w:eastAsia="仿宋_GB2312"/>
          <w:sz w:val="32"/>
          <w:szCs w:val="32"/>
        </w:rPr>
        <w:t>，全部实行整体支出绩效目标管理，编报绩效目标的项目</w:t>
      </w:r>
      <w:r>
        <w:rPr>
          <w:rFonts w:eastAsia="仿宋_GB2312"/>
          <w:sz w:val="32"/>
          <w:szCs w:val="32"/>
        </w:rPr>
        <w:t>19</w:t>
      </w:r>
      <w:r>
        <w:rPr>
          <w:rFonts w:hint="eastAsia" w:eastAsia="仿宋_GB2312"/>
          <w:sz w:val="32"/>
          <w:szCs w:val="32"/>
        </w:rPr>
        <w:t>个，涉及项目支出</w:t>
      </w:r>
      <w:r>
        <w:rPr>
          <w:rFonts w:eastAsia="仿宋_GB2312"/>
          <w:sz w:val="32"/>
          <w:szCs w:val="32"/>
        </w:rPr>
        <w:t>546.22</w:t>
      </w:r>
      <w:r>
        <w:rPr>
          <w:rFonts w:hint="eastAsia" w:eastAsia="仿宋_GB2312"/>
          <w:sz w:val="32"/>
          <w:szCs w:val="32"/>
        </w:rPr>
        <w:t>万元，其中专项业务费用类项目</w:t>
      </w:r>
      <w:r>
        <w:rPr>
          <w:rFonts w:eastAsia="仿宋_GB2312"/>
          <w:sz w:val="32"/>
          <w:szCs w:val="32"/>
        </w:rPr>
        <w:t>13</w:t>
      </w:r>
      <w:r>
        <w:rPr>
          <w:rFonts w:hint="eastAsia" w:eastAsia="仿宋_GB2312"/>
          <w:sz w:val="32"/>
          <w:szCs w:val="32"/>
        </w:rPr>
        <w:t>个，共</w:t>
      </w:r>
      <w:r>
        <w:rPr>
          <w:rFonts w:eastAsia="仿宋_GB2312"/>
          <w:sz w:val="32"/>
          <w:szCs w:val="32"/>
        </w:rPr>
        <w:t>360</w:t>
      </w:r>
      <w:r>
        <w:rPr>
          <w:rFonts w:hint="eastAsia" w:eastAsia="仿宋_GB2312"/>
          <w:sz w:val="32"/>
          <w:szCs w:val="32"/>
        </w:rPr>
        <w:t>万元，基本建设类项目</w:t>
      </w:r>
      <w:r>
        <w:rPr>
          <w:rFonts w:eastAsia="仿宋_GB2312"/>
          <w:sz w:val="32"/>
          <w:szCs w:val="32"/>
        </w:rPr>
        <w:t>0</w:t>
      </w:r>
      <w:r>
        <w:rPr>
          <w:rFonts w:hint="eastAsia" w:eastAsia="仿宋_GB2312"/>
          <w:sz w:val="32"/>
          <w:szCs w:val="32"/>
        </w:rPr>
        <w:t>个，共</w:t>
      </w:r>
      <w:r>
        <w:rPr>
          <w:rFonts w:eastAsia="仿宋_GB2312"/>
          <w:sz w:val="32"/>
          <w:szCs w:val="32"/>
        </w:rPr>
        <w:t>0</w:t>
      </w:r>
      <w:r>
        <w:rPr>
          <w:rFonts w:hint="eastAsia" w:eastAsia="仿宋_GB2312"/>
          <w:sz w:val="32"/>
          <w:szCs w:val="32"/>
        </w:rPr>
        <w:t>万元，对个人和家庭补助类项目</w:t>
      </w:r>
      <w:r>
        <w:rPr>
          <w:rFonts w:eastAsia="仿宋_GB2312"/>
          <w:sz w:val="32"/>
          <w:szCs w:val="32"/>
        </w:rPr>
        <w:t>6</w:t>
      </w:r>
      <w:r>
        <w:rPr>
          <w:rFonts w:hint="eastAsia" w:eastAsia="仿宋_GB2312"/>
          <w:sz w:val="32"/>
          <w:szCs w:val="32"/>
        </w:rPr>
        <w:t>个，共</w:t>
      </w:r>
      <w:r>
        <w:rPr>
          <w:rFonts w:eastAsia="仿宋_GB2312"/>
          <w:sz w:val="32"/>
          <w:szCs w:val="32"/>
        </w:rPr>
        <w:t>186.22</w:t>
      </w:r>
      <w:r>
        <w:rPr>
          <w:rFonts w:hint="eastAsia" w:eastAsia="仿宋_GB2312"/>
          <w:sz w:val="32"/>
          <w:szCs w:val="32"/>
        </w:rPr>
        <w:t>万元，产业发展引导类项目</w:t>
      </w:r>
      <w:r>
        <w:rPr>
          <w:rFonts w:eastAsia="仿宋_GB2312"/>
          <w:sz w:val="32"/>
          <w:szCs w:val="32"/>
        </w:rPr>
        <w:t>0</w:t>
      </w:r>
      <w:r>
        <w:rPr>
          <w:rFonts w:hint="eastAsia" w:eastAsia="仿宋_GB2312"/>
          <w:sz w:val="32"/>
          <w:szCs w:val="32"/>
        </w:rPr>
        <w:t>个，共</w:t>
      </w:r>
      <w:r>
        <w:rPr>
          <w:rFonts w:eastAsia="仿宋_GB2312"/>
          <w:sz w:val="32"/>
          <w:szCs w:val="32"/>
        </w:rPr>
        <w:t>0</w:t>
      </w:r>
      <w:r>
        <w:rPr>
          <w:rFonts w:hint="eastAsia" w:eastAsia="仿宋_GB2312"/>
          <w:sz w:val="32"/>
          <w:szCs w:val="32"/>
        </w:rPr>
        <w:t>万元，全部实行项目支出绩效标管理。</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w:t>
      </w:r>
      <w:r>
        <w:rPr>
          <w:rFonts w:hint="eastAsia" w:cs="黑体" w:asciiTheme="minorEastAsia" w:hAnsiTheme="minorEastAsia"/>
          <w:color w:val="000000"/>
          <w:kern w:val="0"/>
          <w:sz w:val="32"/>
          <w:szCs w:val="32"/>
          <w:lang w:val="en-US" w:eastAsia="zh-CN"/>
        </w:rPr>
        <w:t>56.9</w:t>
      </w:r>
      <w:r>
        <w:rPr>
          <w:rFonts w:hint="eastAsia" w:cs="黑体" w:asciiTheme="minorEastAsia" w:hAnsiTheme="minorEastAsia"/>
          <w:color w:val="000000"/>
          <w:kern w:val="0"/>
          <w:sz w:val="32"/>
          <w:szCs w:val="32"/>
        </w:rPr>
        <w:t>万元，比年初预算数增加38.39万元</w:t>
      </w:r>
      <w:bookmarkStart w:id="0" w:name="_GoBack"/>
      <w:bookmarkEnd w:id="0"/>
      <w:r>
        <w:rPr>
          <w:rFonts w:hint="eastAsia" w:cs="黑体" w:asciiTheme="minorEastAsia" w:hAnsiTheme="minorEastAsia"/>
          <w:color w:val="000000"/>
          <w:kern w:val="0"/>
          <w:sz w:val="32"/>
          <w:szCs w:val="32"/>
        </w:rPr>
        <w:t>。主要原因是：2019年机构改革610办并入以及新转入人员，年初均未安排预算。</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0.51万元，用于召开扫黑、禁毒、平安建设会议，人数566人，内容为扫黑除恶、禁毒工作、平安建设考评部署；开支培训费0.17万元，用于开展网信业务培训，人数1人，内容为网信业务学习；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66.71万元，其中：政府采购货物支出66.71万元、政府采购工程支出0万元、政府采购服务支出0万元。授予中小企业合同金额66.71万元，占政府采购支出总额的100%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w:t>
      </w:r>
      <w:r>
        <w:rPr>
          <w:rFonts w:cs="黑体" w:asciiTheme="minorEastAsia" w:hAnsiTheme="minorEastAsia"/>
          <w:color w:val="000000"/>
          <w:kern w:val="0"/>
          <w:sz w:val="32"/>
          <w:szCs w:val="32"/>
        </w:rPr>
        <w:t>9</w:t>
      </w:r>
      <w:r>
        <w:rPr>
          <w:rFonts w:hint="eastAsia" w:cs="黑体" w:asciiTheme="minorEastAsia" w:hAnsiTheme="minorEastAsia"/>
          <w:color w:val="000000"/>
          <w:kern w:val="0"/>
          <w:sz w:val="32"/>
          <w:szCs w:val="32"/>
        </w:rPr>
        <w:t>年鹤城区委政法委根据党的路线方针和中央、省、市委政法委以及区委、区政府对政法综治工作的部署，对一定时期内的全区政法综治等各专项工作做出全局性部署，对专项资金严格管理，专款专用并督促贯彻落实，为鹤城区的社会稳定和谐提供保障基础。</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一、项目基本情况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w:t>
      </w:r>
      <w:r>
        <w:rPr>
          <w:rFonts w:cs="黑体" w:asciiTheme="minorEastAsia" w:hAnsiTheme="minorEastAsia"/>
          <w:color w:val="000000"/>
          <w:kern w:val="0"/>
          <w:sz w:val="32"/>
          <w:szCs w:val="32"/>
        </w:rPr>
        <w:t>9</w:t>
      </w:r>
      <w:r>
        <w:rPr>
          <w:rFonts w:hint="eastAsia" w:cs="黑体" w:asciiTheme="minorEastAsia" w:hAnsiTheme="minorEastAsia"/>
          <w:color w:val="000000"/>
          <w:kern w:val="0"/>
          <w:sz w:val="32"/>
          <w:szCs w:val="32"/>
        </w:rPr>
        <w:t>年共支出专项资金</w:t>
      </w:r>
      <w:r>
        <w:rPr>
          <w:rFonts w:cs="黑体" w:asciiTheme="minorEastAsia" w:hAnsiTheme="minorEastAsia"/>
          <w:color w:val="000000"/>
          <w:kern w:val="0"/>
          <w:sz w:val="32"/>
          <w:szCs w:val="32"/>
        </w:rPr>
        <w:t>218.21</w:t>
      </w:r>
      <w:r>
        <w:rPr>
          <w:rFonts w:hint="eastAsia" w:cs="黑体" w:asciiTheme="minorEastAsia" w:hAnsiTheme="minorEastAsia"/>
          <w:color w:val="000000"/>
          <w:kern w:val="0"/>
          <w:sz w:val="32"/>
          <w:szCs w:val="32"/>
        </w:rPr>
        <w:t xml:space="preserve">万元，是指单位为完成特定行政工作任务或事业发展目标而发生的支出。            </w:t>
      </w:r>
      <w:r>
        <w:rPr>
          <w:rFonts w:hint="eastAsia" w:ascii="仿宋_GB2312" w:eastAsia="仿宋_GB2312"/>
          <w:sz w:val="32"/>
          <w:szCs w:val="32"/>
        </w:rPr>
        <w:t xml:space="preserve">                             </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二、资金申报及使用情况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1、本级财政的申报预算已于当年的9—12月完成。</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w:t>
      </w:r>
      <w:r>
        <w:rPr>
          <w:rFonts w:cs="黑体" w:asciiTheme="minorEastAsia" w:hAnsiTheme="minorEastAsia"/>
          <w:color w:val="000000"/>
          <w:kern w:val="0"/>
          <w:sz w:val="32"/>
          <w:szCs w:val="32"/>
        </w:rPr>
        <w:t>2019</w:t>
      </w:r>
      <w:r>
        <w:rPr>
          <w:rFonts w:hint="eastAsia" w:cs="黑体" w:asciiTheme="minorEastAsia" w:hAnsiTheme="minorEastAsia"/>
          <w:color w:val="000000"/>
          <w:kern w:val="0"/>
          <w:sz w:val="32"/>
          <w:szCs w:val="32"/>
        </w:rPr>
        <w:t>年度的项目资金都已拨付到位，用于维护社会稳定、国家安全，取得了良好的社会反响。</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三、财务管理</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为完善项目资金管理，我委从源头入手，落实责任，完善制度，合理使用，加强监督管理，注重宣传，确保项目资金的管理使用高效率。一是加强领导，增强责任制意识。二是加强资金管理制度建设。结合单位的实际，制订出各项规章制度，将各项经济活动划分到具体工作岗位，按照岗位确定任务、职责和权限，贯彻执行制订的相关制度，加强制度执行的监督，使专项资金的财务管理有章可循。三是加强资金的支出管理。坚持“专项核算、专人管理、专款专用”的原则，严禁挤占、挪用专项资金。</w:t>
      </w:r>
    </w:p>
    <w:p>
      <w:pPr>
        <w:ind w:firstLine="640" w:firstLineChars="200"/>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7F30F3"/>
    <w:multiLevelType w:val="singleLevel"/>
    <w:tmpl w:val="FA7F30F3"/>
    <w:lvl w:ilvl="0" w:tentative="0">
      <w:start w:val="3"/>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82866"/>
    <w:rsid w:val="000A3F69"/>
    <w:rsid w:val="00152C6D"/>
    <w:rsid w:val="00162D39"/>
    <w:rsid w:val="001A67DB"/>
    <w:rsid w:val="001D51E5"/>
    <w:rsid w:val="001E0CD3"/>
    <w:rsid w:val="001F0C3B"/>
    <w:rsid w:val="00214427"/>
    <w:rsid w:val="00265724"/>
    <w:rsid w:val="0027426B"/>
    <w:rsid w:val="003479BD"/>
    <w:rsid w:val="0035048E"/>
    <w:rsid w:val="003768D5"/>
    <w:rsid w:val="004506F9"/>
    <w:rsid w:val="004717A2"/>
    <w:rsid w:val="00491741"/>
    <w:rsid w:val="00500E5F"/>
    <w:rsid w:val="005122EF"/>
    <w:rsid w:val="00517C33"/>
    <w:rsid w:val="00523644"/>
    <w:rsid w:val="0054069E"/>
    <w:rsid w:val="0055374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763FA1"/>
    <w:rsid w:val="00812ED5"/>
    <w:rsid w:val="008277D9"/>
    <w:rsid w:val="008758D5"/>
    <w:rsid w:val="008A3E8D"/>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50AE6"/>
    <w:rsid w:val="00C77645"/>
    <w:rsid w:val="00CE04C3"/>
    <w:rsid w:val="00CE76A0"/>
    <w:rsid w:val="00D148C6"/>
    <w:rsid w:val="00D22B79"/>
    <w:rsid w:val="00DA0359"/>
    <w:rsid w:val="00DD06FF"/>
    <w:rsid w:val="00DD5FE9"/>
    <w:rsid w:val="00E00C7A"/>
    <w:rsid w:val="00E55B68"/>
    <w:rsid w:val="00F37C4B"/>
    <w:rsid w:val="00F6654F"/>
    <w:rsid w:val="00F74360"/>
    <w:rsid w:val="00FB462F"/>
    <w:rsid w:val="00FE16FA"/>
    <w:rsid w:val="00FE328A"/>
    <w:rsid w:val="02613208"/>
    <w:rsid w:val="031E5715"/>
    <w:rsid w:val="08446019"/>
    <w:rsid w:val="0B8A6596"/>
    <w:rsid w:val="0BBD2EE5"/>
    <w:rsid w:val="0DD42CA4"/>
    <w:rsid w:val="0F623BF5"/>
    <w:rsid w:val="0FC12CEE"/>
    <w:rsid w:val="12857AB4"/>
    <w:rsid w:val="19B353AE"/>
    <w:rsid w:val="19F27809"/>
    <w:rsid w:val="1DE77C27"/>
    <w:rsid w:val="1F0D3953"/>
    <w:rsid w:val="1F957014"/>
    <w:rsid w:val="21680ADB"/>
    <w:rsid w:val="218E74E8"/>
    <w:rsid w:val="222128B6"/>
    <w:rsid w:val="22C00F56"/>
    <w:rsid w:val="234B1E94"/>
    <w:rsid w:val="274C6D49"/>
    <w:rsid w:val="30901505"/>
    <w:rsid w:val="33110F15"/>
    <w:rsid w:val="367A48EB"/>
    <w:rsid w:val="37766481"/>
    <w:rsid w:val="3AE757CB"/>
    <w:rsid w:val="452C2E4D"/>
    <w:rsid w:val="45667975"/>
    <w:rsid w:val="48C9392D"/>
    <w:rsid w:val="4C333F31"/>
    <w:rsid w:val="4FB2411E"/>
    <w:rsid w:val="50CF667A"/>
    <w:rsid w:val="5115624D"/>
    <w:rsid w:val="514F0BFC"/>
    <w:rsid w:val="53674327"/>
    <w:rsid w:val="53AE35BD"/>
    <w:rsid w:val="54677F38"/>
    <w:rsid w:val="568D5A19"/>
    <w:rsid w:val="5805353A"/>
    <w:rsid w:val="5A2A1976"/>
    <w:rsid w:val="5BEB3DBE"/>
    <w:rsid w:val="63E545BD"/>
    <w:rsid w:val="665F0BB7"/>
    <w:rsid w:val="66DE06B4"/>
    <w:rsid w:val="6A7E0A7E"/>
    <w:rsid w:val="6C586442"/>
    <w:rsid w:val="6D58732B"/>
    <w:rsid w:val="718B1BD3"/>
    <w:rsid w:val="728C3204"/>
    <w:rsid w:val="73DF00CB"/>
    <w:rsid w:val="753279D9"/>
    <w:rsid w:val="75500FC5"/>
    <w:rsid w:val="766B0E3E"/>
    <w:rsid w:val="7A4D54CE"/>
    <w:rsid w:val="7DF32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195958-D2C4-4687-B6B4-B46D083686F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808</Words>
  <Characters>4609</Characters>
  <Lines>38</Lines>
  <Paragraphs>10</Paragraphs>
  <TotalTime>8</TotalTime>
  <ScaleCrop>false</ScaleCrop>
  <LinksUpToDate>false</LinksUpToDate>
  <CharactersWithSpaces>5407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2021-06-04T06:22:00Z</dcterms:created>
  <dc:creator>李航 null</dc:creator>
  <cp:lastModifiedBy>且歌</cp:lastModifiedBy>
  <cp:lastPrinted>2020-07-15T07:25:00Z</cp:lastPrinted>
  <dcterms:modified xsi:type="dcterms:W3CDTF">2021-06-06T10:44:14Z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C6A01E0AD4A1476AA583298CD3D02529</vt:lpwstr>
  </property>
</Properties>
</file>