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ascii="方正小标宋简体" w:eastAsia="方正小标宋简体"/>
          <w:sz w:val="48"/>
          <w:szCs w:val="48"/>
        </w:rPr>
      </w:pPr>
      <w:r>
        <w:rPr>
          <w:rFonts w:hint="eastAsia" w:ascii="方正小标宋简体" w:eastAsia="方正小标宋简体"/>
          <w:sz w:val="48"/>
          <w:szCs w:val="48"/>
        </w:rPr>
        <w:t>2019年度</w:t>
      </w:r>
    </w:p>
    <w:p>
      <w:pPr>
        <w:pStyle w:val="9"/>
        <w:jc w:val="center"/>
        <w:rPr>
          <w:rFonts w:ascii="方正小标宋简体" w:eastAsia="方正小标宋简体"/>
          <w:sz w:val="48"/>
          <w:szCs w:val="48"/>
        </w:rPr>
      </w:pPr>
      <w:r>
        <w:rPr>
          <w:rFonts w:hint="eastAsia" w:ascii="方正小标宋简体" w:eastAsia="方正小标宋简体"/>
          <w:sz w:val="48"/>
          <w:szCs w:val="48"/>
        </w:rPr>
        <w:t>怀化市鹤城区委网络安全和信息化委员会办公室单位部门决算</w:t>
      </w:r>
    </w:p>
    <w:p>
      <w:pPr>
        <w:pStyle w:val="9"/>
        <w:jc w:val="center"/>
        <w:rPr>
          <w:rFonts w:ascii="方正小标宋简体" w:eastAsia="方正小标宋简体"/>
          <w:sz w:val="48"/>
          <w:szCs w:val="48"/>
        </w:rPr>
      </w:pPr>
    </w:p>
    <w:p>
      <w:pPr>
        <w:pStyle w:val="9"/>
        <w:spacing w:line="520" w:lineRule="exact"/>
        <w:jc w:val="center"/>
        <w:rPr>
          <w:sz w:val="56"/>
          <w:szCs w:val="56"/>
        </w:rPr>
      </w:pPr>
      <w:r>
        <w:rPr>
          <w:rFonts w:hint="eastAsia"/>
          <w:sz w:val="56"/>
          <w:szCs w:val="56"/>
        </w:rPr>
        <w:t>目录</w:t>
      </w:r>
    </w:p>
    <w:p>
      <w:pPr>
        <w:pStyle w:val="9"/>
        <w:spacing w:line="520" w:lineRule="exact"/>
        <w:rPr>
          <w:rFonts w:hAnsi="仿宋_GB2312"/>
          <w:b/>
          <w:sz w:val="28"/>
          <w:szCs w:val="28"/>
        </w:rPr>
      </w:pPr>
      <w:r>
        <w:rPr>
          <w:rFonts w:hint="eastAsia" w:hAnsi="仿宋_GB2312"/>
          <w:b/>
          <w:sz w:val="28"/>
          <w:szCs w:val="28"/>
        </w:rPr>
        <w:t>第一部分区委网信办概况</w:t>
      </w:r>
    </w:p>
    <w:p>
      <w:pPr>
        <w:pStyle w:val="9"/>
        <w:spacing w:line="520" w:lineRule="exact"/>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pStyle w:val="9"/>
        <w:jc w:val="center"/>
        <w:rPr>
          <w:sz w:val="84"/>
          <w:szCs w:val="84"/>
        </w:rPr>
      </w:pPr>
    </w:p>
    <w:p>
      <w:pPr>
        <w:pStyle w:val="9"/>
        <w:jc w:val="center"/>
        <w:rPr>
          <w:rFonts w:ascii="方正小标宋简体" w:eastAsia="方正小标宋简体"/>
          <w:sz w:val="44"/>
          <w:szCs w:val="44"/>
        </w:rPr>
      </w:pPr>
      <w:r>
        <w:rPr>
          <w:rFonts w:hint="eastAsia" w:ascii="方正小标宋简体" w:eastAsia="方正小标宋简体"/>
          <w:sz w:val="44"/>
          <w:szCs w:val="44"/>
        </w:rPr>
        <w:t>第一部分</w:t>
      </w:r>
    </w:p>
    <w:p>
      <w:pPr>
        <w:pStyle w:val="9"/>
        <w:jc w:val="center"/>
        <w:rPr>
          <w:rFonts w:ascii="方正小标宋简体" w:eastAsia="方正小标宋简体"/>
          <w:sz w:val="44"/>
          <w:szCs w:val="44"/>
        </w:rPr>
      </w:pPr>
    </w:p>
    <w:p>
      <w:pPr>
        <w:pStyle w:val="9"/>
        <w:jc w:val="center"/>
        <w:rPr>
          <w:sz w:val="84"/>
          <w:szCs w:val="84"/>
        </w:rPr>
      </w:pPr>
      <w:r>
        <w:rPr>
          <w:rFonts w:hint="eastAsia" w:ascii="方正小标宋简体" w:eastAsia="方正小标宋简体"/>
          <w:sz w:val="44"/>
          <w:szCs w:val="44"/>
        </w:rPr>
        <w:t>怀化市鹤城区委网络安全和信息化委员会办公室单位概况</w:t>
      </w: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单位主要工作职责：组织开展对涉及全区各个领域的网络安全和信息化重大问题研究；负责全区互联网信息内容管理，维护互联网意识形态安全；督促落实全区网络安全和信息化有关重大事项；统筹协调全区网络安全保障体系和可信体系建设；负责指导协调全区网络舆情信息工作；指导、协调全区网络安全和信息化领域的对外交流与合作；指导、检查、推动各区直单位、街道乡镇和有关部门网络安全和信息化工作；完成区委、区政府和区网络安全和信息化委员会交办的其他任务等。</w:t>
      </w:r>
    </w:p>
    <w:p>
      <w:pPr>
        <w:pStyle w:val="9"/>
        <w:spacing w:line="520" w:lineRule="exact"/>
        <w:ind w:firstLine="800" w:firstLineChars="250"/>
        <w:rPr>
          <w:rFonts w:hAnsi="黑体"/>
          <w:bCs/>
          <w:sz w:val="32"/>
          <w:szCs w:val="32"/>
        </w:rPr>
      </w:pPr>
      <w:r>
        <w:rPr>
          <w:rFonts w:hint="eastAsia" w:hAnsi="黑体"/>
          <w:bCs/>
          <w:sz w:val="32"/>
          <w:szCs w:val="32"/>
        </w:rPr>
        <w:t>二、机构设置及决算单位构成</w:t>
      </w:r>
    </w:p>
    <w:p>
      <w:pPr>
        <w:ind w:firstLine="640" w:firstLineChars="200"/>
        <w:rPr>
          <w:rFonts w:cs="仿宋_GB2312" w:asciiTheme="minorEastAsia" w:hAnsiTheme="minorEastAsia"/>
          <w:color w:val="000000"/>
          <w:kern w:val="0"/>
          <w:sz w:val="28"/>
          <w:szCs w:val="28"/>
        </w:rPr>
      </w:pPr>
      <w:r>
        <w:rPr>
          <w:rFonts w:hint="eastAsia" w:asciiTheme="minorEastAsia" w:hAnsiTheme="minorEastAsia"/>
          <w:bCs/>
          <w:kern w:val="0"/>
          <w:sz w:val="32"/>
          <w:szCs w:val="32"/>
        </w:rPr>
        <w:t>（一）内设机构设置。机关行政编制6名，设主任1名，副主任1名，内设3</w:t>
      </w:r>
      <w:r>
        <w:rPr>
          <w:rFonts w:hint="eastAsia" w:cs="仿宋_GB2312" w:asciiTheme="minorEastAsia" w:hAnsiTheme="minorEastAsia"/>
          <w:color w:val="000000"/>
          <w:kern w:val="0"/>
          <w:sz w:val="28"/>
          <w:szCs w:val="28"/>
        </w:rPr>
        <w:t>个股室（</w:t>
      </w:r>
      <w:r>
        <w:rPr>
          <w:rFonts w:hint="eastAsia" w:cs="仿宋_GB2312" w:asciiTheme="minorEastAsia" w:hAnsiTheme="minorEastAsia"/>
          <w:color w:val="000000"/>
          <w:kern w:val="0"/>
          <w:sz w:val="32"/>
          <w:szCs w:val="32"/>
        </w:rPr>
        <w:t>综合股、网络安全与信息发展股、网络传播与舆情信息股</w:t>
      </w:r>
      <w:r>
        <w:rPr>
          <w:rFonts w:hint="eastAsia" w:cs="仿宋_GB2312" w:asciiTheme="minorEastAsia" w:hAnsiTheme="minorEastAsia"/>
          <w:color w:val="000000"/>
          <w:kern w:val="0"/>
          <w:sz w:val="28"/>
          <w:szCs w:val="28"/>
        </w:rPr>
        <w:t>）。</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（二）决算单位构成。怀化市鹤城区委网络安全和信息化委员会办公室单位</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年部门决算汇总公开单位构成包括单位本级。</w:t>
      </w:r>
    </w:p>
    <w:p>
      <w:pPr>
        <w:jc w:val="left"/>
        <w:rPr>
          <w:rFonts w:ascii="仿宋_GB2312" w:eastAsia="仿宋_GB2312" w:hAnsiTheme="minorEastAsia"/>
          <w:sz w:val="44"/>
          <w:szCs w:val="44"/>
        </w:rPr>
      </w:pPr>
    </w:p>
    <w:p>
      <w:pPr>
        <w:jc w:val="center"/>
        <w:rPr>
          <w:sz w:val="44"/>
          <w:szCs w:val="44"/>
        </w:rPr>
      </w:pPr>
      <w:r>
        <w:rPr>
          <w:rFonts w:hint="eastAsia"/>
          <w:sz w:val="44"/>
          <w:szCs w:val="44"/>
        </w:rPr>
        <w:t>第二部分</w:t>
      </w:r>
    </w:p>
    <w:p>
      <w:pPr>
        <w:jc w:val="center"/>
        <w:rPr>
          <w:sz w:val="44"/>
          <w:szCs w:val="44"/>
        </w:rPr>
      </w:pPr>
    </w:p>
    <w:p>
      <w:pPr>
        <w:jc w:val="center"/>
        <w:rPr>
          <w:sz w:val="44"/>
          <w:szCs w:val="44"/>
        </w:rPr>
      </w:pPr>
      <w:r>
        <w:rPr>
          <w:rFonts w:hint="eastAsia"/>
          <w:sz w:val="44"/>
          <w:szCs w:val="44"/>
        </w:rPr>
        <w:t>部门决算表（详见附表）</w:t>
      </w:r>
    </w:p>
    <w:p>
      <w:pPr>
        <w:jc w:val="center"/>
        <w:rPr>
          <w:sz w:val="44"/>
          <w:szCs w:val="44"/>
        </w:rPr>
      </w:pPr>
    </w:p>
    <w:p>
      <w:pPr>
        <w:pStyle w:val="9"/>
        <w:jc w:val="center"/>
        <w:rPr>
          <w:rFonts w:ascii="方正小标宋简体" w:eastAsia="方正小标宋简体"/>
          <w:sz w:val="44"/>
          <w:szCs w:val="44"/>
        </w:rPr>
      </w:pPr>
    </w:p>
    <w:p>
      <w:pPr>
        <w:pStyle w:val="9"/>
        <w:jc w:val="center"/>
        <w:rPr>
          <w:rFonts w:ascii="方正小标宋简体" w:eastAsia="方正小标宋简体"/>
          <w:sz w:val="44"/>
          <w:szCs w:val="44"/>
        </w:rPr>
      </w:pPr>
      <w:r>
        <w:rPr>
          <w:rFonts w:hint="eastAsia" w:ascii="方正小标宋简体" w:eastAsia="方正小标宋简体"/>
          <w:sz w:val="44"/>
          <w:szCs w:val="44"/>
        </w:rPr>
        <w:t>第三部分</w:t>
      </w:r>
    </w:p>
    <w:p>
      <w:pPr>
        <w:pStyle w:val="9"/>
        <w:jc w:val="center"/>
        <w:rPr>
          <w:rFonts w:ascii="方正小标宋简体" w:eastAsia="方正小标宋简体"/>
          <w:sz w:val="44"/>
          <w:szCs w:val="44"/>
        </w:rPr>
      </w:pPr>
      <w:r>
        <w:rPr>
          <w:rFonts w:hint="eastAsia" w:ascii="方正小标宋简体" w:eastAsia="方正小标宋简体"/>
          <w:sz w:val="44"/>
          <w:szCs w:val="44"/>
        </w:rPr>
        <w:t>2019年度部门决算情况说明</w:t>
      </w:r>
    </w:p>
    <w:p>
      <w:pPr>
        <w:pStyle w:val="9"/>
        <w:jc w:val="center"/>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年度收入总计15.84万元、与上年比较增加15.84万元，增长100%主要是因为2019年新成立单位，没有2018年数据；支出总计15.84万元，与2018年相比，增加15.84万元，增长100%，主要是因为2019年新成立单位，没有2018年数据。</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本年收入合计15.84万元，其中：财政拨款收入15.84万元，占100%；上级补助收入0万元，占0%；事业收入0万元，占0%；经营收入0万元，占0%；附属单位上缴收入0万元，占0%；其他收入0万元，占0%。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本年支出合计15.84万元，其中：基本支出15.84万元，占100%；项目支出0万元，占0%；上缴上级支出0万元，占0%；经营支出0万元，占0%；对附属单位补助支出0万元，占0%。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15.84万元、与上年比较增加15.84万元，增长100%，主要是因为2019年新成立单位，没有2018年数据；支出总计15.84万元，与2018年相比，增加15.84万元，增长100%，主要是因为2019年新成立单位，没有2018年数据。</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2019年度财政拨款支出15.84万元，占本年支出合计的100%，与2018年相比，财政拨款支出增加0万元，主要是因为2019年新成立单位，没有2018年数据。</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2019年度财政拨款支出15.84万元，主要用于以下方面：一般公共服务（类）支出15.84万元，占100%。</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2019年度财政拨款支出年初预算数为0万元（2019年新成立单位，没有2019年年初预算），支出决算数为15.84万元，完成年初预算的100%，其中：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1、一般公共服务（类）网信事业（款）行政运行（项）。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年初预算为0万元（2019年新成立单位，没有2019年年初预算），支出决算为15.84万元，完成年初预算的100%。</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15.84万元，其中：人员经费4.74万元，占基本支出的30%,主要包括基本工资、津贴补贴、奖金、伙食补助费；公用经费11.1万元，占基本支出的70%，主要包括办公费、印刷费、电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“三公”经费财政拨款支出预算为0万元（2019年新成立单位，没有2019年年初预算），支出决算为0万元，完成预算的0%，其中：</w:t>
      </w:r>
    </w:p>
    <w:p>
      <w:pPr>
        <w:pStyle w:val="9"/>
        <w:ind w:firstLine="800" w:firstLineChars="25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因公出国（境）费支出预算为0万元，支出决算为0万元，完成预算的0%，与上年相比减少0万元，主要原因是新成立的单位无该项费用。</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公务接待费支出预算为0万元，支出决算为0万元，完成预算的0%；与上年相比减少0万元，主要原因是新成立的单位无该项费用。</w:t>
      </w:r>
    </w:p>
    <w:p>
      <w:pPr>
        <w:pStyle w:val="9"/>
        <w:ind w:firstLine="800" w:firstLineChars="25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公务用车购置费及运行维护费支出预算为0万元，支出决算为0万元，完成预算的0%；与上年相比减少0万元，主要原因是新成立的单位无该项费用。</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2019年度“三公”经费财政拨款支出决算中，公务接待费支出决算0万元，占0%,因公出国（境）费支出决算0万元，占0%,公务用车购置费及运行维护费支出决算0万元，占0%。</w:t>
      </w:r>
    </w:p>
    <w:p>
      <w:pPr>
        <w:pStyle w:val="9"/>
        <w:numPr>
          <w:ilvl w:val="0"/>
          <w:numId w:val="2"/>
        </w:numPr>
        <w:ind w:firstLine="8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w:t>
      </w:r>
    </w:p>
    <w:p>
      <w:pPr>
        <w:pStyle w:val="9"/>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本单位无政府性基金收支。</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网信办预算绩效管理、绩效目标和绩效评价报告等相关附后。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asciiTheme="minorEastAsia" w:hAnsiTheme="minorEastAsia"/>
          <w:sz w:val="32"/>
          <w:szCs w:val="32"/>
        </w:rPr>
      </w:pPr>
      <w:r>
        <w:rPr>
          <w:rFonts w:hint="eastAsia" w:cs="黑体" w:asciiTheme="minorEastAsia" w:hAnsiTheme="minorEastAsia"/>
          <w:color w:val="000000"/>
          <w:kern w:val="0"/>
          <w:sz w:val="32"/>
          <w:szCs w:val="32"/>
        </w:rPr>
        <w:t>本部门2019 年度机关运行经费支出7.39万元，比年初预算数增加7.39万元</w:t>
      </w:r>
      <w:bookmarkStart w:id="0" w:name="_GoBack"/>
      <w:bookmarkEnd w:id="0"/>
      <w:r>
        <w:rPr>
          <w:rFonts w:hint="eastAsia" w:cs="黑体" w:asciiTheme="minorEastAsia" w:hAnsiTheme="minorEastAsia"/>
          <w:color w:val="000000"/>
          <w:kern w:val="0"/>
          <w:sz w:val="32"/>
          <w:szCs w:val="32"/>
        </w:rPr>
        <w:t>。主要原因是：</w:t>
      </w:r>
      <w:r>
        <w:rPr>
          <w:rFonts w:hint="eastAsia" w:asciiTheme="minorEastAsia" w:hAnsiTheme="minorEastAsia"/>
          <w:sz w:val="32"/>
          <w:szCs w:val="32"/>
        </w:rPr>
        <w:t>2019年新成立单位，2019年初预算为0万元。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2019年本部门开支会议费0万元，人数0人；开支培训费0万元，人数0人；未举办节庆、晚会、论坛、赛事活动。</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ind w:firstLine="3680" w:firstLineChars="1150"/>
        <w:rPr>
          <w:rFonts w:cs="黑体" w:asciiTheme="minorEastAsia" w:hAnsiTheme="minorEastAsia"/>
          <w:color w:val="000000"/>
          <w:kern w:val="0"/>
          <w:sz w:val="32"/>
          <w:szCs w:val="32"/>
        </w:rPr>
      </w:pPr>
    </w:p>
    <w:p>
      <w:pPr>
        <w:ind w:firstLine="4180" w:firstLineChars="950"/>
        <w:rPr>
          <w:rFonts w:ascii="方正小标宋简体" w:hAnsi="仿宋" w:eastAsia="方正小标宋简体"/>
          <w:sz w:val="44"/>
          <w:szCs w:val="44"/>
        </w:rPr>
      </w:pPr>
      <w:r>
        <w:rPr>
          <w:rFonts w:hint="eastAsia" w:ascii="方正小标宋简体" w:hAnsi="仿宋" w:eastAsia="方正小标宋简体"/>
          <w:sz w:val="44"/>
          <w:szCs w:val="44"/>
        </w:rPr>
        <w:t>第四部分</w:t>
      </w:r>
    </w:p>
    <w:p>
      <w:pPr>
        <w:jc w:val="center"/>
        <w:rPr>
          <w:rFonts w:ascii="方正小标宋简体" w:hAnsi="仿宋" w:eastAsia="方正小标宋简体" w:cs="黑体"/>
          <w:color w:val="000000"/>
          <w:kern w:val="0"/>
          <w:sz w:val="44"/>
          <w:szCs w:val="44"/>
        </w:rPr>
      </w:pPr>
      <w:r>
        <w:rPr>
          <w:rFonts w:hint="eastAsia" w:ascii="方正小标宋简体" w:hAnsi="仿宋" w:eastAsia="方正小标宋简体" w:cs="黑体"/>
          <w:color w:val="000000"/>
          <w:kern w:val="0"/>
          <w:sz w:val="44"/>
          <w:szCs w:val="44"/>
        </w:rPr>
        <w:t>名词解释</w:t>
      </w:r>
    </w:p>
    <w:p>
      <w:pPr>
        <w:jc w:val="center"/>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9"/>
        <w:jc w:val="center"/>
        <w:rPr>
          <w:sz w:val="72"/>
          <w:szCs w:val="72"/>
        </w:rPr>
      </w:pPr>
    </w:p>
    <w:p>
      <w:pPr>
        <w:pStyle w:val="9"/>
        <w:jc w:val="center"/>
        <w:rPr>
          <w:rFonts w:ascii="方正小标宋简体" w:eastAsia="方正小标宋简体"/>
          <w:sz w:val="44"/>
          <w:szCs w:val="44"/>
        </w:rPr>
      </w:pPr>
      <w:r>
        <w:rPr>
          <w:rFonts w:hint="eastAsia" w:ascii="方正小标宋简体" w:eastAsia="方正小标宋简体"/>
          <w:sz w:val="44"/>
          <w:szCs w:val="44"/>
        </w:rPr>
        <w:t>第五部分</w:t>
      </w:r>
    </w:p>
    <w:p>
      <w:pPr>
        <w:jc w:val="center"/>
        <w:rPr>
          <w:rFonts w:ascii="方正小标宋简体" w:eastAsia="方正小标宋简体" w:cs="黑体"/>
          <w:color w:val="000000"/>
          <w:kern w:val="0"/>
          <w:sz w:val="44"/>
          <w:szCs w:val="44"/>
        </w:rPr>
      </w:pPr>
      <w:r>
        <w:rPr>
          <w:rFonts w:hint="eastAsia" w:ascii="方正小标宋简体" w:eastAsia="方正小标宋简体" w:cs="黑体"/>
          <w:color w:val="000000"/>
          <w:kern w:val="0"/>
          <w:sz w:val="44"/>
          <w:szCs w:val="44"/>
        </w:rPr>
        <w:t>附件</w:t>
      </w:r>
    </w:p>
    <w:p>
      <w:pPr>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pStyle w:val="10"/>
        <w:widowControl/>
        <w:numPr>
          <w:ilvl w:val="0"/>
          <w:numId w:val="3"/>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（一）部门职责</w:t>
      </w:r>
    </w:p>
    <w:p>
      <w:pPr>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单位主要工作职责：组织开展对涉及全区各个领域的网络安全和信息化重大问题研究；负责全区互联网信息内容管理，维护互联网意识形态安全；督促落实全区网络安全和信息化有关重大事项；统筹协调全区网络安全保障体系和可信体系建设；负责指导协调全区网络舆情信息工作；指导、协调全区网络安全和信息化领域的对外交流与合作；指导、检查、推动各区直单位、街道乡镇和有关部门网络安全和信息化工作；完成区委、区政府和区网络安全和信息化委员会交办的其他任务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（二）机构设置情况</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怀化市鹤城区委网络安全和信息化委员会办公室作为一级部门预算单位，机关行政编制6名，设主任1名，副主任1名，内设2个股室。</w:t>
      </w:r>
    </w:p>
    <w:p>
      <w:pPr>
        <w:pStyle w:val="10"/>
        <w:widowControl/>
        <w:numPr>
          <w:ilvl w:val="0"/>
          <w:numId w:val="3"/>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一般公共预算支出情况</w:t>
      </w:r>
    </w:p>
    <w:p>
      <w:pPr>
        <w:spacing w:line="560" w:lineRule="exact"/>
        <w:ind w:firstLine="640" w:firstLineChars="200"/>
        <w:jc w:val="left"/>
        <w:rPr>
          <w:rFonts w:eastAsia="黑体"/>
          <w:sz w:val="32"/>
          <w:szCs w:val="32"/>
        </w:rPr>
      </w:pPr>
      <w:r>
        <w:rPr>
          <w:rFonts w:hint="eastAsia" w:eastAsia="黑体"/>
          <w:sz w:val="32"/>
          <w:szCs w:val="32"/>
        </w:rPr>
        <w:t>（一）</w:t>
      </w:r>
      <w:r>
        <w:rPr>
          <w:rFonts w:eastAsia="黑体"/>
          <w:sz w:val="32"/>
          <w:szCs w:val="32"/>
        </w:rPr>
        <w:t>基本支出情况</w:t>
      </w:r>
    </w:p>
    <w:p>
      <w:pPr>
        <w:spacing w:line="560" w:lineRule="exact"/>
        <w:ind w:firstLine="640" w:firstLineChars="200"/>
        <w:jc w:val="left"/>
        <w:rPr>
          <w:rFonts w:ascii="仿宋_GB2312" w:eastAsia="仿宋_GB2312"/>
          <w:sz w:val="32"/>
          <w:szCs w:val="32"/>
        </w:rPr>
      </w:pP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新成立单位，没有年初预算数，2019年决算数15.84万元。基本支出是指为保障单位机构正常运转、完成日常工作任务而发生的各项支出，包括用于基本工资、津贴补贴等人员经费以及办公费、印刷费、水电费、物业管理费等日常公用经费；</w:t>
      </w:r>
    </w:p>
    <w:p>
      <w:pPr>
        <w:pStyle w:val="10"/>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0"/>
        <w:widowControl/>
        <w:spacing w:line="600" w:lineRule="exact"/>
        <w:ind w:firstLine="640"/>
        <w:rPr>
          <w:rFonts w:ascii="Times New Roman" w:hAnsi="Times New Roman"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年没有项目支出。</w:t>
      </w:r>
    </w:p>
    <w:p>
      <w:pPr>
        <w:numPr>
          <w:ilvl w:val="0"/>
          <w:numId w:val="4"/>
        </w:numPr>
        <w:spacing w:line="560" w:lineRule="exact"/>
        <w:ind w:firstLine="640" w:firstLineChars="200"/>
        <w:jc w:val="left"/>
        <w:rPr>
          <w:rFonts w:eastAsia="黑体"/>
          <w:sz w:val="32"/>
          <w:szCs w:val="32"/>
        </w:rPr>
      </w:pPr>
      <w:r>
        <w:rPr>
          <w:rFonts w:eastAsia="黑体"/>
          <w:sz w:val="32"/>
          <w:szCs w:val="32"/>
        </w:rPr>
        <w:t>政府性基金预算支出情况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年政府性基金支出为</w:t>
      </w:r>
      <w:r>
        <w:rPr>
          <w:rFonts w:ascii="仿宋_GB2312" w:eastAsia="仿宋_GB2312"/>
          <w:sz w:val="32"/>
          <w:szCs w:val="32"/>
        </w:rPr>
        <w:t>0</w:t>
      </w:r>
      <w:r>
        <w:rPr>
          <w:rFonts w:hint="eastAsia" w:ascii="仿宋_GB2312" w:eastAsia="仿宋_GB2312"/>
          <w:sz w:val="32"/>
          <w:szCs w:val="32"/>
        </w:rPr>
        <w:t>万元。</w:t>
      </w:r>
    </w:p>
    <w:p>
      <w:pPr>
        <w:pStyle w:val="10"/>
        <w:widowControl/>
        <w:numPr>
          <w:ilvl w:val="0"/>
          <w:numId w:val="4"/>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年国有资本经营支出为</w:t>
      </w:r>
      <w:r>
        <w:rPr>
          <w:rFonts w:ascii="仿宋_GB2312" w:eastAsia="仿宋_GB2312"/>
          <w:sz w:val="32"/>
          <w:szCs w:val="32"/>
        </w:rPr>
        <w:t>0</w:t>
      </w:r>
      <w:r>
        <w:rPr>
          <w:rFonts w:hint="eastAsia" w:ascii="仿宋_GB2312" w:eastAsia="仿宋_GB2312"/>
          <w:sz w:val="32"/>
          <w:szCs w:val="32"/>
        </w:rPr>
        <w:t>万元。</w:t>
      </w:r>
    </w:p>
    <w:p>
      <w:pPr>
        <w:pStyle w:val="10"/>
        <w:widowControl/>
        <w:numPr>
          <w:ilvl w:val="0"/>
          <w:numId w:val="4"/>
        </w:numPr>
        <w:spacing w:line="6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spacing w:line="560" w:lineRule="exact"/>
        <w:ind w:firstLine="640" w:firstLineChars="200"/>
        <w:jc w:val="left"/>
        <w:rPr>
          <w:rFonts w:eastAsia="黑体"/>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年社会保险基金支出为</w:t>
      </w:r>
      <w:r>
        <w:rPr>
          <w:rFonts w:ascii="仿宋_GB2312" w:eastAsia="仿宋_GB2312"/>
          <w:sz w:val="32"/>
          <w:szCs w:val="32"/>
        </w:rPr>
        <w:t>0</w:t>
      </w:r>
      <w:r>
        <w:rPr>
          <w:rFonts w:hint="eastAsia" w:ascii="仿宋_GB2312" w:eastAsia="仿宋_GB2312"/>
          <w:sz w:val="32"/>
          <w:szCs w:val="32"/>
        </w:rPr>
        <w:t>万元。</w:t>
      </w:r>
    </w:p>
    <w:p>
      <w:pPr>
        <w:widowControl/>
        <w:spacing w:line="600" w:lineRule="exact"/>
        <w:ind w:firstLine="640" w:firstLineChars="200"/>
        <w:jc w:val="left"/>
        <w:rPr>
          <w:rFonts w:eastAsia="黑体"/>
          <w:sz w:val="32"/>
          <w:szCs w:val="32"/>
        </w:rPr>
      </w:pPr>
      <w:r>
        <w:rPr>
          <w:rFonts w:eastAsia="黑体"/>
          <w:sz w:val="32"/>
          <w:szCs w:val="32"/>
        </w:rPr>
        <w:t>六、部门整体支出绩效情况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2019年基本支出:15.84万元，其中人员经费支出4.74万元;公用经费支出11.1万元。</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无</w:t>
      </w:r>
    </w:p>
    <w:p>
      <w:pPr>
        <w:widowControl/>
        <w:numPr>
          <w:ilvl w:val="0"/>
          <w:numId w:val="5"/>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0" w:firstLineChars="200"/>
        <w:jc w:val="left"/>
        <w:rPr>
          <w:rFonts w:eastAsia="仿宋_GB2312"/>
          <w:sz w:val="32"/>
          <w:szCs w:val="32"/>
        </w:rPr>
      </w:pPr>
      <w:r>
        <w:rPr>
          <w:rFonts w:hint="eastAsia" w:eastAsia="仿宋_GB2312"/>
          <w:sz w:val="32"/>
          <w:szCs w:val="32"/>
        </w:rPr>
        <w:t>无</w:t>
      </w:r>
    </w:p>
    <w:p>
      <w:pPr>
        <w:widowControl/>
        <w:numPr>
          <w:ilvl w:val="0"/>
          <w:numId w:val="5"/>
        </w:numPr>
        <w:spacing w:line="600" w:lineRule="exact"/>
        <w:ind w:firstLine="640" w:firstLineChars="200"/>
        <w:jc w:val="left"/>
        <w:rPr>
          <w:rFonts w:eastAsia="黑体"/>
          <w:sz w:val="32"/>
          <w:szCs w:val="32"/>
        </w:rPr>
      </w:pPr>
      <w:r>
        <w:rPr>
          <w:rFonts w:eastAsia="黑体"/>
          <w:sz w:val="32"/>
          <w:szCs w:val="32"/>
        </w:rPr>
        <w:t>其他需要说明的情况</w:t>
      </w:r>
    </w:p>
    <w:p>
      <w:pPr>
        <w:widowControl/>
        <w:spacing w:line="600" w:lineRule="exact"/>
        <w:ind w:left="420" w:leftChars="200"/>
        <w:jc w:val="left"/>
        <w:rPr>
          <w:rFonts w:eastAsia="仿宋_GB2312"/>
          <w:sz w:val="32"/>
          <w:szCs w:val="32"/>
        </w:rPr>
      </w:pPr>
      <w:r>
        <w:rPr>
          <w:rFonts w:hint="eastAsia" w:eastAsia="仿宋_GB2312"/>
          <w:sz w:val="32"/>
          <w:szCs w:val="32"/>
        </w:rPr>
        <w:t xml:space="preserve"> 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1BF1C3"/>
    <w:multiLevelType w:val="singleLevel"/>
    <w:tmpl w:val="ED1BF1C3"/>
    <w:lvl w:ilvl="0" w:tentative="0">
      <w:start w:val="1"/>
      <w:numFmt w:val="chineseCounting"/>
      <w:suff w:val="nothing"/>
      <w:lvlText w:val="%1、"/>
      <w:lvlJc w:val="left"/>
      <w:rPr>
        <w:rFonts w:hint="eastAsia"/>
      </w:rPr>
    </w:lvl>
  </w:abstractNum>
  <w:abstractNum w:abstractNumId="1">
    <w:nsid w:val="F613CC65"/>
    <w:multiLevelType w:val="singleLevel"/>
    <w:tmpl w:val="F613CC65"/>
    <w:lvl w:ilvl="0" w:tentative="0">
      <w:start w:val="3"/>
      <w:numFmt w:val="chineseCounting"/>
      <w:suff w:val="nothing"/>
      <w:lvlText w:val="%1、"/>
      <w:lvlJc w:val="left"/>
      <w:rPr>
        <w:rFonts w:hint="eastAsia"/>
      </w:rPr>
    </w:lvl>
  </w:abstractNum>
  <w:abstractNum w:abstractNumId="2">
    <w:nsid w:val="09D294BD"/>
    <w:multiLevelType w:val="singleLevel"/>
    <w:tmpl w:val="09D294BD"/>
    <w:lvl w:ilvl="0" w:tentative="0">
      <w:start w:val="1"/>
      <w:numFmt w:val="decimal"/>
      <w:suff w:val="nothing"/>
      <w:lvlText w:val="%1、"/>
      <w:lvlJc w:val="left"/>
      <w:pPr>
        <w:ind w:left="40"/>
      </w:pPr>
    </w:lvl>
  </w:abstractNum>
  <w:abstractNum w:abstractNumId="3">
    <w:nsid w:val="12AD9BD8"/>
    <w:multiLevelType w:val="singleLevel"/>
    <w:tmpl w:val="12AD9BD8"/>
    <w:lvl w:ilvl="0" w:tentative="0">
      <w:start w:val="8"/>
      <w:numFmt w:val="chineseCounting"/>
      <w:suff w:val="nothing"/>
      <w:lvlText w:val="%1、"/>
      <w:lvlJc w:val="left"/>
      <w:rPr>
        <w:rFonts w:hint="eastAsia"/>
      </w:r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71330"/>
    <w:rsid w:val="001A67DB"/>
    <w:rsid w:val="001D51E5"/>
    <w:rsid w:val="001E0CD3"/>
    <w:rsid w:val="001F0C3B"/>
    <w:rsid w:val="00201D87"/>
    <w:rsid w:val="00214427"/>
    <w:rsid w:val="00265724"/>
    <w:rsid w:val="0027426B"/>
    <w:rsid w:val="00291DC9"/>
    <w:rsid w:val="002C1F37"/>
    <w:rsid w:val="003463A3"/>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84775"/>
    <w:rsid w:val="006A351B"/>
    <w:rsid w:val="006B0422"/>
    <w:rsid w:val="006C1B53"/>
    <w:rsid w:val="006D7730"/>
    <w:rsid w:val="006E5284"/>
    <w:rsid w:val="006F3EB5"/>
    <w:rsid w:val="00702E34"/>
    <w:rsid w:val="00704395"/>
    <w:rsid w:val="00720FF1"/>
    <w:rsid w:val="00797706"/>
    <w:rsid w:val="007E0959"/>
    <w:rsid w:val="007E4A8C"/>
    <w:rsid w:val="00812ED5"/>
    <w:rsid w:val="008277D9"/>
    <w:rsid w:val="008A3E8D"/>
    <w:rsid w:val="009237C4"/>
    <w:rsid w:val="00950252"/>
    <w:rsid w:val="00967F5D"/>
    <w:rsid w:val="00997ED0"/>
    <w:rsid w:val="009A0F95"/>
    <w:rsid w:val="009B3ADF"/>
    <w:rsid w:val="009C3B52"/>
    <w:rsid w:val="00A42218"/>
    <w:rsid w:val="00A70249"/>
    <w:rsid w:val="00B33BEA"/>
    <w:rsid w:val="00B57C9F"/>
    <w:rsid w:val="00B845B3"/>
    <w:rsid w:val="00B85D8B"/>
    <w:rsid w:val="00BC7861"/>
    <w:rsid w:val="00BE3674"/>
    <w:rsid w:val="00C22847"/>
    <w:rsid w:val="00C3049A"/>
    <w:rsid w:val="00C31B1E"/>
    <w:rsid w:val="00C77645"/>
    <w:rsid w:val="00CE04C3"/>
    <w:rsid w:val="00CE76A0"/>
    <w:rsid w:val="00D148C6"/>
    <w:rsid w:val="00DD06FF"/>
    <w:rsid w:val="00DD5FE9"/>
    <w:rsid w:val="00E00C7A"/>
    <w:rsid w:val="00E55B68"/>
    <w:rsid w:val="00F564D2"/>
    <w:rsid w:val="00F74360"/>
    <w:rsid w:val="00FB462F"/>
    <w:rsid w:val="00FE16FA"/>
    <w:rsid w:val="00FE328A"/>
    <w:rsid w:val="02120018"/>
    <w:rsid w:val="10EA50D6"/>
    <w:rsid w:val="248B24BE"/>
    <w:rsid w:val="38985704"/>
    <w:rsid w:val="4500743D"/>
    <w:rsid w:val="566E32EF"/>
    <w:rsid w:val="569F6C11"/>
    <w:rsid w:val="56F52620"/>
    <w:rsid w:val="5F232DC6"/>
    <w:rsid w:val="63093E60"/>
    <w:rsid w:val="778E2AF0"/>
    <w:rsid w:val="79D90A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610</Words>
  <Characters>3479</Characters>
  <Lines>28</Lines>
  <Paragraphs>8</Paragraphs>
  <TotalTime>3</TotalTime>
  <ScaleCrop>false</ScaleCrop>
  <LinksUpToDate>false</LinksUpToDate>
  <CharactersWithSpaces>4081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2021-06-03T04:00:00Z</dcterms:created>
  <dc:creator>李航 null</dc:creator>
  <cp:lastModifiedBy>且歌</cp:lastModifiedBy>
  <cp:lastPrinted>2020-07-15T07:25:00Z</cp:lastPrinted>
  <dcterms:modified xsi:type="dcterms:W3CDTF">2021-06-06T11:49:48Z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16B9E5369B7449D0AA9FC5FE491AD25C</vt:lpwstr>
  </property>
</Properties>
</file>