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jc w:val="center"/>
        <w:rPr>
          <w:sz w:val="56"/>
          <w:szCs w:val="56"/>
        </w:rPr>
      </w:pPr>
    </w:p>
    <w:p>
      <w:pPr>
        <w:pStyle w:val="9"/>
        <w:jc w:val="center"/>
        <w:rPr>
          <w:sz w:val="56"/>
          <w:szCs w:val="56"/>
        </w:rPr>
      </w:pPr>
    </w:p>
    <w:p>
      <w:pPr>
        <w:pStyle w:val="9"/>
        <w:jc w:val="center"/>
        <w:rPr>
          <w:sz w:val="84"/>
          <w:szCs w:val="84"/>
        </w:rPr>
      </w:pPr>
    </w:p>
    <w:p>
      <w:pPr>
        <w:pStyle w:val="9"/>
        <w:jc w:val="center"/>
        <w:rPr>
          <w:sz w:val="84"/>
          <w:szCs w:val="84"/>
        </w:rPr>
      </w:pPr>
    </w:p>
    <w:p>
      <w:pPr>
        <w:pStyle w:val="9"/>
        <w:jc w:val="center"/>
        <w:rPr>
          <w:sz w:val="84"/>
          <w:szCs w:val="84"/>
        </w:rPr>
      </w:pPr>
      <w:r>
        <w:rPr>
          <w:rFonts w:hint="eastAsia"/>
          <w:sz w:val="84"/>
          <w:szCs w:val="84"/>
        </w:rPr>
        <w:t>2019年度</w:t>
      </w:r>
    </w:p>
    <w:p>
      <w:pPr>
        <w:pStyle w:val="9"/>
        <w:jc w:val="center"/>
        <w:rPr>
          <w:sz w:val="84"/>
          <w:szCs w:val="84"/>
        </w:rPr>
      </w:pPr>
      <w:r>
        <w:rPr>
          <w:rFonts w:hint="eastAsia"/>
          <w:sz w:val="84"/>
          <w:szCs w:val="84"/>
        </w:rPr>
        <w:t>区总工会部门决算</w:t>
      </w:r>
    </w:p>
    <w:p>
      <w:pPr>
        <w:pStyle w:val="9"/>
        <w:jc w:val="center"/>
        <w:rPr>
          <w:sz w:val="56"/>
          <w:szCs w:val="56"/>
        </w:rPr>
      </w:pPr>
    </w:p>
    <w:p>
      <w:pPr>
        <w:pStyle w:val="9"/>
        <w:jc w:val="center"/>
        <w:rPr>
          <w:sz w:val="56"/>
          <w:szCs w:val="56"/>
        </w:rPr>
      </w:pPr>
    </w:p>
    <w:p>
      <w:pPr>
        <w:pStyle w:val="9"/>
        <w:jc w:val="center"/>
        <w:rPr>
          <w:sz w:val="56"/>
          <w:szCs w:val="56"/>
        </w:rPr>
      </w:pPr>
    </w:p>
    <w:p>
      <w:pPr>
        <w:pStyle w:val="9"/>
        <w:spacing w:line="520" w:lineRule="exact"/>
        <w:rPr>
          <w:sz w:val="56"/>
          <w:szCs w:val="56"/>
        </w:rPr>
      </w:pPr>
    </w:p>
    <w:p>
      <w:pPr>
        <w:pStyle w:val="9"/>
        <w:spacing w:line="520" w:lineRule="exact"/>
        <w:jc w:val="center"/>
        <w:rPr>
          <w:sz w:val="56"/>
          <w:szCs w:val="56"/>
        </w:rPr>
      </w:pPr>
      <w:r>
        <w:rPr>
          <w:rFonts w:hint="eastAsia"/>
          <w:sz w:val="56"/>
          <w:szCs w:val="56"/>
        </w:rPr>
        <w:t>目 录</w:t>
      </w:r>
    </w:p>
    <w:p>
      <w:pPr>
        <w:pStyle w:val="9"/>
        <w:spacing w:line="520" w:lineRule="exact"/>
        <w:rPr>
          <w:rFonts w:ascii="仿宋_GB2312" w:hAnsi="仿宋_GB2312" w:cs="仿宋_GB2312"/>
          <w:b/>
          <w:sz w:val="28"/>
          <w:szCs w:val="28"/>
        </w:rPr>
      </w:pPr>
      <w:r>
        <w:rPr>
          <w:rFonts w:hint="eastAsia"/>
          <w:b/>
          <w:sz w:val="28"/>
          <w:szCs w:val="28"/>
        </w:rPr>
        <w:t>第一部分单位概况</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9"/>
        <w:spacing w:line="52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2019</w:t>
      </w:r>
      <w:r>
        <w:rPr>
          <w:rFonts w:hint="eastAsia" w:hAnsi="仿宋_GB2312"/>
          <w:b/>
          <w:sz w:val="28"/>
          <w:szCs w:val="28"/>
        </w:rPr>
        <w:t>年度部门决算表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9"/>
        <w:spacing w:line="52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2019</w:t>
      </w:r>
      <w:r>
        <w:rPr>
          <w:rFonts w:hint="eastAsia" w:hAnsi="仿宋_GB2312"/>
          <w:b/>
          <w:sz w:val="28"/>
          <w:szCs w:val="28"/>
        </w:rPr>
        <w:t>年度部门决算情况说明</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2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七、一般公共预算财政拨款三公经费支出决算情况说明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、预算绩效情况说明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w:t>
      </w:r>
      <w:r>
        <w:rPr>
          <w:rFonts w:ascii="仿宋_GB2312" w:hAnsi="仿宋_GB2312" w:cs="仿宋_GB2312"/>
          <w:color w:val="000000"/>
          <w:kern w:val="0"/>
          <w:sz w:val="28"/>
          <w:szCs w:val="28"/>
        </w:rPr>
        <w:t>、其他重要事项情况说明</w:t>
      </w:r>
    </w:p>
    <w:p>
      <w:pPr>
        <w:autoSpaceDE w:val="0"/>
        <w:autoSpaceDN w:val="0"/>
        <w:adjustRightInd w:val="0"/>
        <w:spacing w:line="520" w:lineRule="exact"/>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第四部分名词解释</w:t>
      </w:r>
    </w:p>
    <w:p>
      <w:pPr>
        <w:spacing w:line="520" w:lineRule="exact"/>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9"/>
        <w:jc w:val="center"/>
        <w:rPr>
          <w:sz w:val="84"/>
          <w:szCs w:val="84"/>
        </w:rPr>
      </w:pPr>
    </w:p>
    <w:p>
      <w:pPr>
        <w:pStyle w:val="9"/>
        <w:jc w:val="center"/>
        <w:rPr>
          <w:sz w:val="84"/>
          <w:szCs w:val="84"/>
        </w:rPr>
      </w:pPr>
    </w:p>
    <w:p>
      <w:pPr>
        <w:pStyle w:val="9"/>
        <w:jc w:val="center"/>
        <w:rPr>
          <w:sz w:val="84"/>
          <w:szCs w:val="84"/>
        </w:rPr>
      </w:pPr>
      <w:r>
        <w:rPr>
          <w:rFonts w:hint="eastAsia"/>
          <w:sz w:val="84"/>
          <w:szCs w:val="84"/>
        </w:rPr>
        <w:t>第一部分</w:t>
      </w:r>
      <w:r>
        <w:rPr>
          <w:sz w:val="84"/>
          <w:szCs w:val="84"/>
        </w:rPr>
        <w:t xml:space="preserve"> </w:t>
      </w:r>
    </w:p>
    <w:p>
      <w:pPr>
        <w:pStyle w:val="9"/>
        <w:jc w:val="center"/>
        <w:rPr>
          <w:sz w:val="84"/>
          <w:szCs w:val="84"/>
        </w:rPr>
      </w:pPr>
    </w:p>
    <w:p>
      <w:pPr>
        <w:pStyle w:val="9"/>
        <w:jc w:val="center"/>
        <w:rPr>
          <w:sz w:val="84"/>
          <w:szCs w:val="84"/>
        </w:rPr>
      </w:pPr>
      <w:r>
        <w:rPr>
          <w:rFonts w:hint="eastAsia"/>
          <w:sz w:val="84"/>
          <w:szCs w:val="84"/>
        </w:rPr>
        <w:t>区总工会概况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0"/>
        <w:ind w:left="720" w:firstLine="0" w:firstLineChars="0"/>
        <w:jc w:val="left"/>
        <w:rPr>
          <w:rFonts w:ascii="黑体" w:hAnsi="黑体" w:eastAsia="黑体"/>
          <w:sz w:val="32"/>
          <w:szCs w:val="32"/>
        </w:rPr>
      </w:pPr>
    </w:p>
    <w:p>
      <w:pPr>
        <w:pStyle w:val="10"/>
        <w:ind w:left="1713" w:firstLine="0" w:firstLineChars="0"/>
        <w:jc w:val="left"/>
        <w:rPr>
          <w:rFonts w:ascii="黑体" w:hAnsi="黑体" w:eastAsia="黑体"/>
          <w:sz w:val="32"/>
          <w:szCs w:val="32"/>
        </w:rPr>
      </w:pPr>
    </w:p>
    <w:p>
      <w:pPr>
        <w:ind w:left="993"/>
        <w:jc w:val="left"/>
        <w:rPr>
          <w:rFonts w:ascii="黑体" w:hAnsi="黑体" w:eastAsia="黑体"/>
          <w:sz w:val="32"/>
          <w:szCs w:val="32"/>
        </w:rPr>
      </w:pPr>
    </w:p>
    <w:p>
      <w:pPr>
        <w:pStyle w:val="10"/>
        <w:numPr>
          <w:ilvl w:val="0"/>
          <w:numId w:val="1"/>
        </w:numPr>
        <w:ind w:firstLineChars="0"/>
        <w:jc w:val="left"/>
        <w:rPr>
          <w:rFonts w:ascii="黑体" w:hAnsi="黑体" w:eastAsia="黑体"/>
          <w:sz w:val="32"/>
          <w:szCs w:val="32"/>
        </w:rPr>
      </w:pPr>
      <w:r>
        <w:rPr>
          <w:rFonts w:ascii="黑体" w:hAnsi="黑体" w:eastAsia="黑体"/>
          <w:sz w:val="32"/>
          <w:szCs w:val="32"/>
        </w:rPr>
        <w:t>部门</w:t>
      </w:r>
      <w:r>
        <w:rPr>
          <w:rFonts w:hint="eastAsia" w:ascii="黑体" w:hAnsi="黑体" w:eastAsia="黑体"/>
          <w:sz w:val="32"/>
          <w:szCs w:val="32"/>
        </w:rPr>
        <w:t>概况</w:t>
      </w:r>
    </w:p>
    <w:p>
      <w:pPr>
        <w:widowControl/>
        <w:shd w:val="clear" w:color="auto" w:fill="FFFFFF"/>
        <w:spacing w:line="330" w:lineRule="atLeast"/>
        <w:ind w:firstLine="548" w:firstLineChars="196"/>
        <w:jc w:val="left"/>
        <w:rPr>
          <w:rFonts w:ascii="仿宋" w:hAnsi="仿宋" w:eastAsia="仿宋"/>
          <w:color w:val="333333"/>
          <w:sz w:val="28"/>
          <w:szCs w:val="28"/>
        </w:rPr>
      </w:pPr>
      <w:r>
        <w:rPr>
          <w:rFonts w:hint="eastAsia" w:ascii="仿宋" w:hAnsi="仿宋" w:eastAsia="仿宋"/>
          <w:color w:val="333333"/>
          <w:kern w:val="0"/>
          <w:sz w:val="28"/>
          <w:szCs w:val="28"/>
          <w:shd w:val="clear" w:color="auto" w:fill="FFFFFF"/>
        </w:rPr>
        <w:t xml:space="preserve"> (一)依据党的基本理论、基本路线、基本纲领和工运方针，围绕党和国家的工作大局，贯彻执行中国工会全国代表大会和执委会议确定的方针任务和作出的决议。</w:t>
      </w:r>
    </w:p>
    <w:p>
      <w:pPr>
        <w:widowControl/>
        <w:shd w:val="clear" w:color="auto" w:fill="FFFFFF"/>
        <w:spacing w:line="330" w:lineRule="atLeast"/>
        <w:jc w:val="left"/>
        <w:rPr>
          <w:rFonts w:ascii="仿宋" w:hAnsi="仿宋" w:eastAsia="仿宋"/>
          <w:color w:val="333333"/>
          <w:sz w:val="28"/>
          <w:szCs w:val="28"/>
        </w:rPr>
      </w:pPr>
      <w:r>
        <w:rPr>
          <w:rFonts w:hint="eastAsia" w:ascii="仿宋" w:hAnsi="仿宋" w:eastAsia="仿宋"/>
          <w:color w:val="333333"/>
          <w:kern w:val="0"/>
          <w:sz w:val="28"/>
          <w:szCs w:val="28"/>
          <w:shd w:val="clear" w:color="auto" w:fill="FFFFFF"/>
        </w:rPr>
        <w:t xml:space="preserve">    (二)依照法律和中国工会章程，领导全区各级工会组织围绕党的中心开展工会各项工作，组织和指导全区各级工会坚定不移地推动党的全心全意依靠工人阶级根本指导方针的贯彻落实，进一步突出和履行维护职能。通过维护，更好地保护、调动和发挥广大职工的积极性、创造性，并把这种积极性、创造性，通过各种形式组织和引导到完成党和政府提出的各项任务上来。</w:t>
      </w:r>
    </w:p>
    <w:p>
      <w:pPr>
        <w:widowControl/>
        <w:shd w:val="clear" w:color="auto" w:fill="FFFFFF"/>
        <w:spacing w:line="330" w:lineRule="atLeast"/>
        <w:jc w:val="left"/>
        <w:rPr>
          <w:rFonts w:ascii="仿宋" w:hAnsi="仿宋" w:eastAsia="仿宋"/>
          <w:color w:val="333333"/>
          <w:sz w:val="28"/>
          <w:szCs w:val="28"/>
        </w:rPr>
      </w:pPr>
      <w:r>
        <w:rPr>
          <w:rFonts w:hint="eastAsia" w:ascii="仿宋" w:hAnsi="仿宋" w:eastAsia="仿宋"/>
          <w:color w:val="333333"/>
          <w:kern w:val="0"/>
          <w:sz w:val="28"/>
          <w:szCs w:val="28"/>
          <w:shd w:val="clear" w:color="auto" w:fill="FFFFFF"/>
        </w:rPr>
        <w:t xml:space="preserve">    (三)围绕职工合法权益的重大问题进行调查研究，向区委和政府反映职工群众的思想、愿望和要求，提出意见和建议；参与涉及职工切身利益的有关立法和政策、措施、制度的制定；对侵犯职工合法权益重大事件进行调查并提出处理意见，参与职工重大伤亡事故的调查处理。</w:t>
      </w:r>
    </w:p>
    <w:p>
      <w:pPr>
        <w:widowControl/>
        <w:shd w:val="clear" w:color="auto" w:fill="FFFFFF"/>
        <w:spacing w:line="330" w:lineRule="atLeast"/>
        <w:jc w:val="left"/>
        <w:rPr>
          <w:rFonts w:ascii="仿宋" w:hAnsi="仿宋" w:eastAsia="仿宋"/>
          <w:color w:val="333333"/>
          <w:sz w:val="28"/>
          <w:szCs w:val="28"/>
        </w:rPr>
      </w:pPr>
      <w:r>
        <w:rPr>
          <w:rFonts w:hint="eastAsia" w:ascii="仿宋" w:hAnsi="仿宋" w:eastAsia="仿宋"/>
          <w:color w:val="333333"/>
          <w:kern w:val="0"/>
          <w:sz w:val="28"/>
          <w:szCs w:val="28"/>
          <w:shd w:val="clear" w:color="auto" w:fill="FFFFFF"/>
        </w:rPr>
        <w:t xml:space="preserve">    (四)负责工会理论政策研究，为全区各级工会提供理论政策服务；研究制定工会的组织制度和民主制度，监督检查《工会法》和《中国工会章程》的贯彻执行；研究指导工会自身改革和建设；指导基层工会组织职工开展以职工代表大会为基本制度的民主选举、民主决策、民主管理和民主监督工作，研究和推动基层工会建立平等协商、集体合同制度和监督保证机制；指导基层工会协助行政不断提高职工的思想道德和科学文化技术素质及组织、指导基层工会开展职工文体活动。</w:t>
      </w:r>
    </w:p>
    <w:p>
      <w:pPr>
        <w:widowControl/>
        <w:shd w:val="clear" w:color="auto" w:fill="FFFFFF"/>
        <w:spacing w:line="330" w:lineRule="atLeast"/>
        <w:jc w:val="left"/>
        <w:rPr>
          <w:rFonts w:ascii="仿宋" w:hAnsi="仿宋" w:eastAsia="仿宋"/>
          <w:color w:val="333333"/>
          <w:sz w:val="28"/>
          <w:szCs w:val="28"/>
        </w:rPr>
      </w:pPr>
      <w:r>
        <w:rPr>
          <w:rFonts w:hint="eastAsia" w:ascii="仿宋" w:hAnsi="仿宋" w:eastAsia="仿宋"/>
          <w:color w:val="333333"/>
          <w:kern w:val="0"/>
          <w:sz w:val="28"/>
          <w:szCs w:val="28"/>
          <w:shd w:val="clear" w:color="auto" w:fill="FFFFFF"/>
        </w:rPr>
        <w:t xml:space="preserve">    (五)承担全国、全区、全市劳动模范的推荐、评选和管理工作；负责全国、全区五一劳动奖章、奖状获得者的评选表彰和管理工作。</w:t>
      </w:r>
    </w:p>
    <w:p>
      <w:pPr>
        <w:widowControl/>
        <w:shd w:val="clear" w:color="auto" w:fill="FFFFFF"/>
        <w:spacing w:line="330" w:lineRule="atLeast"/>
        <w:jc w:val="left"/>
        <w:rPr>
          <w:rFonts w:ascii="仿宋" w:hAnsi="仿宋" w:eastAsia="仿宋"/>
          <w:color w:val="333333"/>
          <w:sz w:val="28"/>
          <w:szCs w:val="28"/>
        </w:rPr>
      </w:pPr>
      <w:r>
        <w:rPr>
          <w:rFonts w:hint="eastAsia" w:ascii="仿宋" w:hAnsi="仿宋" w:eastAsia="仿宋"/>
          <w:color w:val="333333"/>
          <w:kern w:val="0"/>
          <w:sz w:val="28"/>
          <w:szCs w:val="28"/>
          <w:shd w:val="clear" w:color="auto" w:fill="FFFFFF"/>
        </w:rPr>
        <w:t xml:space="preserve">    (六)负责全区工会经费和工会资产的管理、审查、审计工作；研究制定兴办职工劳动福利事业的有关制度和规定，负责对职工劳动福利事业的指导、协调工作。</w:t>
      </w:r>
    </w:p>
    <w:p>
      <w:pPr>
        <w:widowControl/>
        <w:shd w:val="clear" w:color="auto" w:fill="FFFFFF"/>
        <w:spacing w:line="330" w:lineRule="atLeast"/>
        <w:jc w:val="left"/>
        <w:rPr>
          <w:rFonts w:ascii="仿宋" w:hAnsi="仿宋" w:eastAsia="仿宋"/>
          <w:color w:val="333333"/>
          <w:sz w:val="28"/>
          <w:szCs w:val="28"/>
        </w:rPr>
      </w:pPr>
      <w:r>
        <w:rPr>
          <w:rFonts w:hint="eastAsia" w:ascii="仿宋" w:hAnsi="仿宋" w:eastAsia="仿宋"/>
          <w:color w:val="333333"/>
          <w:kern w:val="0"/>
          <w:sz w:val="28"/>
          <w:szCs w:val="28"/>
          <w:shd w:val="clear" w:color="auto" w:fill="FFFFFF"/>
        </w:rPr>
        <w:t xml:space="preserve">    (七)负责全区工会国际交流工作，发展同各国工会的友好关系；负责与港澳台工会的交流合作工作。</w:t>
      </w:r>
    </w:p>
    <w:p>
      <w:pPr>
        <w:ind w:firstLine="435"/>
        <w:rPr>
          <w:rFonts w:ascii="仿宋" w:hAnsi="仿宋" w:eastAsia="仿宋"/>
          <w:color w:val="333333"/>
          <w:kern w:val="0"/>
          <w:sz w:val="28"/>
          <w:szCs w:val="28"/>
          <w:shd w:val="clear" w:color="auto" w:fill="FFFFFF"/>
        </w:rPr>
      </w:pPr>
      <w:r>
        <w:rPr>
          <w:rFonts w:hint="eastAsia" w:ascii="仿宋" w:hAnsi="仿宋" w:eastAsia="仿宋"/>
          <w:color w:val="333333"/>
          <w:kern w:val="0"/>
          <w:sz w:val="28"/>
          <w:szCs w:val="28"/>
          <w:shd w:val="clear" w:color="auto" w:fill="FFFFFF"/>
        </w:rPr>
        <w:t xml:space="preserve"> (八)承担区委交办的其他事项和人民政府委托处理的有关问题。</w:t>
      </w:r>
    </w:p>
    <w:p>
      <w:pPr>
        <w:widowControl/>
        <w:spacing w:line="600" w:lineRule="exact"/>
        <w:ind w:firstLine="630" w:firstLineChars="196"/>
        <w:rPr>
          <w:rFonts w:ascii="黑体" w:hAnsi="黑体" w:eastAsia="黑体"/>
          <w:bCs/>
          <w:kern w:val="0"/>
          <w:sz w:val="32"/>
          <w:szCs w:val="32"/>
        </w:rPr>
      </w:pPr>
      <w:r>
        <w:rPr>
          <w:rFonts w:hint="eastAsia" w:asciiTheme="majorEastAsia" w:hAnsiTheme="majorEastAsia" w:eastAsiaTheme="majorEastAsia"/>
          <w:b/>
          <w:bCs/>
          <w:kern w:val="0"/>
          <w:sz w:val="32"/>
          <w:szCs w:val="32"/>
        </w:rPr>
        <w:t>二、</w:t>
      </w:r>
      <w:r>
        <w:rPr>
          <w:rFonts w:hint="eastAsia" w:ascii="黑体" w:hAnsi="黑体" w:eastAsia="黑体"/>
          <w:bCs/>
          <w:kern w:val="0"/>
          <w:sz w:val="32"/>
          <w:szCs w:val="32"/>
        </w:rPr>
        <w:t>机构设置及决算单位构成</w:t>
      </w:r>
    </w:p>
    <w:p>
      <w:pPr>
        <w:widowControl/>
        <w:shd w:val="clear" w:color="auto" w:fill="FFFFFF"/>
        <w:spacing w:line="330" w:lineRule="atLeast"/>
        <w:jc w:val="left"/>
        <w:rPr>
          <w:rFonts w:ascii="仿宋_GB2312" w:eastAsia="仿宋_GB2312"/>
          <w:b/>
          <w:bCs/>
          <w:kern w:val="0"/>
          <w:sz w:val="32"/>
          <w:szCs w:val="32"/>
        </w:rPr>
      </w:pPr>
      <w:r>
        <w:rPr>
          <w:rFonts w:hint="eastAsia" w:ascii="仿宋_GB2312" w:eastAsia="仿宋_GB2312"/>
          <w:b/>
          <w:bCs/>
          <w:kern w:val="0"/>
          <w:sz w:val="32"/>
          <w:szCs w:val="32"/>
        </w:rPr>
        <w:t xml:space="preserve">   </w:t>
      </w:r>
    </w:p>
    <w:p>
      <w:pPr>
        <w:widowControl/>
        <w:shd w:val="clear" w:color="auto" w:fill="FFFFFF"/>
        <w:spacing w:line="330" w:lineRule="atLeast"/>
        <w:ind w:firstLine="627" w:firstLineChars="196"/>
        <w:jc w:val="left"/>
        <w:rPr>
          <w:rFonts w:ascii="仿宋" w:hAnsi="仿宋" w:eastAsia="仿宋"/>
          <w:color w:val="333333"/>
          <w:sz w:val="28"/>
          <w:szCs w:val="28"/>
        </w:rPr>
      </w:pPr>
      <w:r>
        <w:rPr>
          <w:rFonts w:hint="eastAsia" w:asciiTheme="minorEastAsia" w:hAnsiTheme="minorEastAsia"/>
          <w:bCs/>
          <w:kern w:val="0"/>
          <w:sz w:val="32"/>
          <w:szCs w:val="32"/>
        </w:rPr>
        <w:t>（一）内设机构设置。</w:t>
      </w:r>
      <w:r>
        <w:rPr>
          <w:rFonts w:hint="eastAsia" w:ascii="仿宋" w:hAnsi="仿宋" w:eastAsia="仿宋"/>
          <w:bCs/>
          <w:sz w:val="28"/>
          <w:szCs w:val="28"/>
        </w:rPr>
        <w:t>总工会</w:t>
      </w:r>
      <w:r>
        <w:rPr>
          <w:rFonts w:hint="eastAsia" w:ascii="仿宋_GB2312" w:eastAsia="仿宋_GB2312"/>
          <w:sz w:val="32"/>
          <w:szCs w:val="32"/>
        </w:rPr>
        <w:t>作为一般部门预算单位，</w:t>
      </w:r>
      <w:r>
        <w:rPr>
          <w:rFonts w:hint="eastAsia" w:asciiTheme="minorEastAsia" w:hAnsiTheme="minorEastAsia"/>
          <w:bCs/>
          <w:kern w:val="0"/>
          <w:sz w:val="32"/>
          <w:szCs w:val="32"/>
        </w:rPr>
        <w:t>内设机构包括</w:t>
      </w:r>
      <w:r>
        <w:rPr>
          <w:rFonts w:hint="eastAsia" w:ascii="仿宋_GB2312" w:eastAsia="仿宋_GB2312"/>
          <w:sz w:val="32"/>
          <w:szCs w:val="32"/>
        </w:rPr>
        <w:t>：</w:t>
      </w:r>
      <w:r>
        <w:rPr>
          <w:rFonts w:hint="eastAsia" w:ascii="仿宋" w:hAnsi="仿宋" w:eastAsia="仿宋"/>
          <w:bCs/>
          <w:sz w:val="28"/>
          <w:szCs w:val="28"/>
        </w:rPr>
        <w:t>机关内设4个部室,办公室</w:t>
      </w:r>
      <w:r>
        <w:rPr>
          <w:rFonts w:hint="eastAsia" w:ascii="仿宋" w:hAnsi="仿宋" w:eastAsia="仿宋"/>
          <w:b/>
          <w:bCs/>
          <w:sz w:val="28"/>
          <w:szCs w:val="28"/>
        </w:rPr>
        <w:t>、</w:t>
      </w:r>
      <w:r>
        <w:rPr>
          <w:rFonts w:hint="eastAsia" w:ascii="仿宋" w:hAnsi="仿宋" w:eastAsia="仿宋"/>
          <w:bCs/>
          <w:sz w:val="28"/>
          <w:szCs w:val="28"/>
        </w:rPr>
        <w:t>法保部、组宣部、财务部</w:t>
      </w:r>
      <w:r>
        <w:rPr>
          <w:rFonts w:hint="eastAsia" w:ascii="仿宋" w:hAnsi="仿宋" w:eastAsia="仿宋"/>
          <w:color w:val="333333"/>
          <w:kern w:val="0"/>
          <w:sz w:val="28"/>
          <w:szCs w:val="28"/>
          <w:shd w:val="clear" w:color="auto" w:fill="FFFFFF"/>
        </w:rPr>
        <w:t>。</w:t>
      </w:r>
      <w:r>
        <w:rPr>
          <w:rFonts w:hint="eastAsia" w:ascii="仿宋" w:hAnsi="仿宋" w:eastAsia="仿宋"/>
          <w:bCs/>
          <w:sz w:val="28"/>
          <w:szCs w:val="28"/>
        </w:rPr>
        <w:t>2020年我会编制人数为</w:t>
      </w:r>
      <w:r>
        <w:rPr>
          <w:rFonts w:ascii="仿宋" w:hAnsi="仿宋" w:eastAsia="仿宋"/>
          <w:sz w:val="28"/>
          <w:szCs w:val="28"/>
        </w:rPr>
        <w:t>在职编制数11人（其中行政编制3人，事业编制6人，自收自支编制2人）</w:t>
      </w:r>
      <w:r>
        <w:rPr>
          <w:rFonts w:hint="eastAsia" w:ascii="仿宋" w:hAnsi="仿宋" w:eastAsia="仿宋"/>
          <w:sz w:val="28"/>
          <w:szCs w:val="28"/>
        </w:rPr>
        <w:t>,</w:t>
      </w:r>
      <w:r>
        <w:rPr>
          <w:rFonts w:ascii="仿宋" w:hAnsi="仿宋" w:eastAsia="仿宋"/>
          <w:sz w:val="28"/>
          <w:szCs w:val="28"/>
        </w:rPr>
        <w:t>离退休人员1</w:t>
      </w:r>
      <w:r>
        <w:rPr>
          <w:rFonts w:hint="eastAsia" w:ascii="仿宋" w:hAnsi="仿宋" w:eastAsia="仿宋"/>
          <w:sz w:val="28"/>
          <w:szCs w:val="28"/>
        </w:rPr>
        <w:t>3</w:t>
      </w:r>
      <w:r>
        <w:rPr>
          <w:rFonts w:ascii="仿宋" w:hAnsi="仿宋" w:eastAsia="仿宋"/>
          <w:sz w:val="28"/>
          <w:szCs w:val="28"/>
        </w:rPr>
        <w:t>人（离休1人，退休</w:t>
      </w:r>
      <w:r>
        <w:rPr>
          <w:rFonts w:hint="eastAsia" w:ascii="仿宋" w:hAnsi="仿宋" w:eastAsia="仿宋"/>
          <w:sz w:val="28"/>
          <w:szCs w:val="28"/>
        </w:rPr>
        <w:t>12</w:t>
      </w:r>
      <w:r>
        <w:rPr>
          <w:rFonts w:ascii="仿宋" w:hAnsi="仿宋" w:eastAsia="仿宋"/>
          <w:sz w:val="28"/>
          <w:szCs w:val="28"/>
        </w:rPr>
        <w:t>人）</w:t>
      </w:r>
      <w:r>
        <w:rPr>
          <w:rFonts w:hint="eastAsia" w:ascii="仿宋" w:hAnsi="仿宋" w:eastAsia="仿宋"/>
          <w:color w:val="333333"/>
          <w:kern w:val="0"/>
          <w:sz w:val="28"/>
          <w:szCs w:val="28"/>
          <w:shd w:val="clear" w:color="auto" w:fill="FFFFFF"/>
        </w:rPr>
        <w:t>。</w:t>
      </w:r>
    </w:p>
    <w:p>
      <w:pPr>
        <w:widowControl/>
        <w:spacing w:line="600" w:lineRule="exact"/>
        <w:ind w:firstLine="640" w:firstLineChars="200"/>
        <w:rPr>
          <w:rFonts w:asciiTheme="minorEastAsia" w:hAnsiTheme="minorEastAsia"/>
          <w:bCs/>
          <w:kern w:val="0"/>
          <w:sz w:val="32"/>
          <w:szCs w:val="32"/>
        </w:rPr>
      </w:pPr>
      <w:r>
        <w:rPr>
          <w:rFonts w:hint="eastAsia" w:asciiTheme="minorEastAsia" w:hAnsiTheme="minorEastAsia"/>
          <w:bCs/>
          <w:kern w:val="0"/>
          <w:sz w:val="32"/>
          <w:szCs w:val="32"/>
        </w:rPr>
        <w:t>（二）决算单位构成。总工会</w:t>
      </w:r>
      <w:r>
        <w:rPr>
          <w:rFonts w:asciiTheme="minorEastAsia" w:hAnsiTheme="minorEastAsia"/>
          <w:bCs/>
          <w:kern w:val="0"/>
          <w:sz w:val="32"/>
          <w:szCs w:val="32"/>
        </w:rPr>
        <w:t>2019</w:t>
      </w:r>
      <w:r>
        <w:rPr>
          <w:rFonts w:hint="eastAsia" w:asciiTheme="minorEastAsia" w:hAnsiTheme="minorEastAsia"/>
          <w:bCs/>
          <w:kern w:val="0"/>
          <w:sz w:val="32"/>
          <w:szCs w:val="32"/>
        </w:rPr>
        <w:t>年部门决算汇总公开单位构成包括：总工会本级。</w:t>
      </w: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部门决算表（详见附表）</w:t>
      </w:r>
    </w:p>
    <w:p>
      <w:pPr>
        <w:jc w:val="center"/>
        <w:rPr>
          <w:sz w:val="72"/>
          <w:szCs w:val="72"/>
        </w:rPr>
      </w:pPr>
    </w:p>
    <w:p>
      <w:pPr>
        <w:pStyle w:val="9"/>
        <w:rPr>
          <w:sz w:val="72"/>
          <w:szCs w:val="72"/>
        </w:rPr>
        <w:sectPr>
          <w:pgSz w:w="16838" w:h="11906" w:orient="landscape"/>
          <w:pgMar w:top="720" w:right="720" w:bottom="720" w:left="720" w:header="851" w:footer="992" w:gutter="0"/>
          <w:cols w:space="425" w:num="1"/>
          <w:docGrid w:type="lines" w:linePitch="312" w:charSpace="0"/>
        </w:sectPr>
      </w:pPr>
    </w:p>
    <w:p>
      <w:pPr>
        <w:pStyle w:val="9"/>
        <w:rPr>
          <w:sz w:val="72"/>
          <w:szCs w:val="72"/>
        </w:rPr>
      </w:pPr>
    </w:p>
    <w:p>
      <w:pPr>
        <w:pStyle w:val="9"/>
        <w:rPr>
          <w:sz w:val="72"/>
          <w:szCs w:val="72"/>
        </w:rPr>
      </w:pPr>
    </w:p>
    <w:p>
      <w:pPr>
        <w:pStyle w:val="9"/>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第三部分</w:t>
      </w:r>
    </w:p>
    <w:p>
      <w:pPr>
        <w:pStyle w:val="9"/>
        <w:jc w:val="center"/>
        <w:rPr>
          <w:sz w:val="70"/>
          <w:szCs w:val="70"/>
        </w:rPr>
      </w:pPr>
    </w:p>
    <w:p>
      <w:pPr>
        <w:pStyle w:val="9"/>
        <w:jc w:val="center"/>
        <w:rPr>
          <w:sz w:val="70"/>
          <w:szCs w:val="70"/>
        </w:rPr>
      </w:pPr>
      <w:r>
        <w:rPr>
          <w:sz w:val="70"/>
          <w:szCs w:val="70"/>
        </w:rPr>
        <w:t>2019</w:t>
      </w:r>
      <w:r>
        <w:rPr>
          <w:rFonts w:hint="eastAsia"/>
          <w:sz w:val="70"/>
          <w:szCs w:val="70"/>
        </w:rPr>
        <w:t>年度部门决算情况说明</w:t>
      </w:r>
    </w:p>
    <w:p>
      <w:pPr>
        <w:widowControl/>
        <w:jc w:val="left"/>
        <w:rPr>
          <w:rFonts w:ascii="黑体" w:eastAsia="黑体" w:cs="黑体"/>
          <w:color w:val="000000"/>
          <w:kern w:val="0"/>
          <w:sz w:val="70"/>
          <w:szCs w:val="70"/>
        </w:rPr>
      </w:pPr>
      <w:r>
        <w:rPr>
          <w:sz w:val="70"/>
          <w:szCs w:val="70"/>
        </w:rPr>
        <w:br w:type="page"/>
      </w:r>
    </w:p>
    <w:p>
      <w:pPr>
        <w:pStyle w:val="9"/>
        <w:rPr>
          <w:rFonts w:asciiTheme="minorEastAsia" w:hAnsiTheme="minorEastAsia" w:eastAsiaTheme="minorEastAsia"/>
          <w:sz w:val="32"/>
          <w:szCs w:val="32"/>
        </w:rPr>
      </w:pPr>
    </w:p>
    <w:p>
      <w:pPr>
        <w:pStyle w:val="9"/>
        <w:rPr>
          <w:rFonts w:hAnsi="黑体"/>
          <w:b/>
          <w:sz w:val="32"/>
          <w:szCs w:val="32"/>
        </w:rPr>
      </w:pPr>
      <w:r>
        <w:rPr>
          <w:rFonts w:hint="eastAsia" w:hAnsi="黑体"/>
          <w:b/>
          <w:sz w:val="32"/>
          <w:szCs w:val="32"/>
        </w:rPr>
        <w:t>一、收入支出决算总体情况说明</w:t>
      </w:r>
    </w:p>
    <w:p>
      <w:pPr>
        <w:widowControl/>
        <w:ind w:firstLine="627" w:firstLineChars="196"/>
        <w:rPr>
          <w:rFonts w:ascii="仿宋_GB2312" w:eastAsia="仿宋_GB2312"/>
          <w:b/>
          <w:bCs/>
          <w:kern w:val="0"/>
          <w:sz w:val="32"/>
          <w:szCs w:val="32"/>
        </w:rPr>
      </w:pPr>
      <w:r>
        <w:rPr>
          <w:rFonts w:hint="eastAsia" w:asciiTheme="minorEastAsia" w:hAnsiTheme="minorEastAsia"/>
          <w:sz w:val="32"/>
          <w:szCs w:val="32"/>
        </w:rPr>
        <w:t>2019 年度收入总计239.67万元。与2018年相比，收入增加21.92万元，增长9%，主要是因为人员工资增加了及离休人员及提前退休工资及津补贴纳入我单位预算；支出总计239.67万元。与2018年相比，收入增加21.92万元，增长9%，主要是因为人员工资增加了及离休人员及提前退休工资及津补贴纳入我单位预算管理。</w:t>
      </w:r>
    </w:p>
    <w:p>
      <w:pPr>
        <w:pStyle w:val="9"/>
        <w:rPr>
          <w:rFonts w:hAnsi="黑体"/>
          <w:b/>
          <w:sz w:val="32"/>
          <w:szCs w:val="32"/>
        </w:rPr>
      </w:pPr>
      <w:r>
        <w:rPr>
          <w:rFonts w:hint="eastAsia" w:hAnsi="黑体"/>
          <w:b/>
          <w:sz w:val="32"/>
          <w:szCs w:val="32"/>
        </w:rPr>
        <w:t>二、收入决算情况说明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本年收入合计239.67万元，其中：财政拨款收入239.67万元，占100%；上级补助收入0万元，占0%；事业收入0万元，占0%；经营收入0万元，占0%；附属单位上缴收入0万元，占0%；其他收入0万元，占0%。</w:t>
      </w:r>
    </w:p>
    <w:p>
      <w:pPr>
        <w:pStyle w:val="9"/>
        <w:rPr>
          <w:rFonts w:hAnsi="黑体"/>
          <w:b/>
          <w:sz w:val="32"/>
          <w:szCs w:val="32"/>
        </w:rPr>
      </w:pPr>
      <w:r>
        <w:rPr>
          <w:rFonts w:hint="eastAsia" w:hAnsi="黑体"/>
          <w:b/>
          <w:sz w:val="32"/>
          <w:szCs w:val="32"/>
        </w:rPr>
        <w:t>三、支出决算情况说明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本年支出合计239.67万元，其中：基本支出134.67万元，占56.19%；项目支出105万元，占43.81%；上缴上级支出0万元，占0%；经营支出0万元，占0%；对附属单位补助支出0万元，占0%。</w:t>
      </w:r>
    </w:p>
    <w:p>
      <w:pPr>
        <w:pStyle w:val="9"/>
        <w:rPr>
          <w:rFonts w:hAnsi="黑体"/>
          <w:b/>
          <w:sz w:val="32"/>
          <w:szCs w:val="32"/>
        </w:rPr>
      </w:pPr>
      <w:r>
        <w:rPr>
          <w:rFonts w:hint="eastAsia" w:hAnsi="黑体"/>
          <w:b/>
          <w:sz w:val="32"/>
          <w:szCs w:val="32"/>
        </w:rPr>
        <w:t>四、财政拨款收入支出决算总体情况说明</w:t>
      </w:r>
    </w:p>
    <w:p>
      <w:pPr>
        <w:widowControl/>
        <w:ind w:firstLine="627" w:firstLineChars="196"/>
        <w:rPr>
          <w:rFonts w:ascii="仿宋_GB2312" w:eastAsia="仿宋_GB2312"/>
          <w:b/>
          <w:bCs/>
          <w:kern w:val="0"/>
          <w:sz w:val="32"/>
          <w:szCs w:val="32"/>
        </w:rPr>
      </w:pPr>
      <w:r>
        <w:rPr>
          <w:rFonts w:hint="eastAsia" w:asciiTheme="minorEastAsia" w:hAnsiTheme="minorEastAsia"/>
          <w:sz w:val="32"/>
          <w:szCs w:val="32"/>
        </w:rPr>
        <w:t xml:space="preserve">   </w:t>
      </w:r>
      <w:r>
        <w:rPr>
          <w:rFonts w:hint="eastAsia" w:asciiTheme="minorEastAsia" w:hAnsiTheme="minorEastAsia"/>
          <w:color w:val="FF0000"/>
          <w:sz w:val="32"/>
          <w:szCs w:val="32"/>
        </w:rPr>
        <w:t xml:space="preserve"> </w:t>
      </w:r>
      <w:r>
        <w:rPr>
          <w:rFonts w:hint="eastAsia" w:asciiTheme="minorEastAsia" w:hAnsiTheme="minorEastAsia"/>
          <w:sz w:val="32"/>
          <w:szCs w:val="32"/>
        </w:rPr>
        <w:t>2019年度财政拨款收入总计239.67万元，与2018年相比，增加21.92万元,增长9%，主要是因为人员工资增加了离休人员及提前退休工资及津补贴纳入我单位预算管理；支出总计239.67万元，与2018年相比，增加21.92万元,增长9%，主要是因为人员工资增加了离休人员及提前退休工资及津补贴纳入我单位预算管理。</w:t>
      </w:r>
    </w:p>
    <w:p>
      <w:pPr>
        <w:pStyle w:val="9"/>
        <w:rPr>
          <w:rFonts w:hAnsi="黑体"/>
          <w:b/>
          <w:sz w:val="32"/>
          <w:szCs w:val="32"/>
        </w:rPr>
      </w:pPr>
      <w:r>
        <w:rPr>
          <w:rFonts w:hint="eastAsia" w:hAnsi="黑体"/>
          <w:b/>
          <w:sz w:val="32"/>
          <w:szCs w:val="32"/>
        </w:rPr>
        <w:t>五、一般公共预算财政拨款支出决算情况说明</w:t>
      </w:r>
    </w:p>
    <w:p>
      <w:pPr>
        <w:pStyle w:val="9"/>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2019年度财政拨款支出239.67万元，占本年支出合计的100%，与2018年相比，财政拨款支出增加（减少）21.92万元，增长（减少）9%，主要是因为人员工资增加了。</w:t>
      </w:r>
    </w:p>
    <w:p>
      <w:pPr>
        <w:pStyle w:val="9"/>
        <w:ind w:firstLine="480"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239.67万元，主要用于以下方面：1、一般公共服务（类）支出209.3万元，占87.33%，其中行政运行95.3万元，占45.53%；机关服务支出105万元，占50.17%；工会事务9万元，占0.43%；2、社会保障和就业支出22.31万元，占9.22%；3、卫生健康支出2.01万元，占0.84%；住房保障支出6.05万元，占2.52%。</w:t>
      </w:r>
    </w:p>
    <w:p>
      <w:pPr>
        <w:pStyle w:val="9"/>
        <w:ind w:firstLine="800" w:firstLineChars="25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2019年度财政拨款支出年初预算数为239.67万元，支出决算数为239.67万元，完成年初预算的100%，其中：</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1、一般公共服务201（类）20129（款）2012901（项）。</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年初预算为95.3万元，支出决算为95.3万元，完成年初预算的100%。</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2、一般公共服务201（类）20129（款）2012903（项）。</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年初预算为105万元，支出决算为105万元，完成年初预算的100%。</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3、一般公共服务201（类）20129（款）2012906（项）。</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年初预算为9万元，支出决算为9万元，完成年初预算的100%。</w:t>
      </w:r>
    </w:p>
    <w:p>
      <w:pPr>
        <w:pStyle w:val="9"/>
        <w:rPr>
          <w:rFonts w:hAnsi="黑体"/>
          <w:b/>
          <w:sz w:val="32"/>
          <w:szCs w:val="32"/>
        </w:rPr>
      </w:pPr>
      <w:r>
        <w:rPr>
          <w:rFonts w:hint="eastAsia" w:hAnsi="黑体"/>
          <w:b/>
          <w:sz w:val="32"/>
          <w:szCs w:val="32"/>
        </w:rPr>
        <w:t>六、一般公共预算财政拨款基本支出决算情况说明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2019年度财政拨款基本支出</w:t>
      </w:r>
      <w:r>
        <w:rPr>
          <w:rFonts w:hint="eastAsia" w:asciiTheme="minorEastAsia" w:hAnsiTheme="minorEastAsia" w:eastAsiaTheme="minorEastAsia"/>
          <w:sz w:val="32"/>
          <w:szCs w:val="32"/>
          <w:lang w:val="en-US" w:eastAsia="zh-CN"/>
        </w:rPr>
        <w:t>134.68</w:t>
      </w:r>
      <w:r>
        <w:rPr>
          <w:rFonts w:hint="eastAsia" w:asciiTheme="minorEastAsia" w:hAnsiTheme="minorEastAsia" w:eastAsiaTheme="minorEastAsia"/>
          <w:sz w:val="32"/>
          <w:szCs w:val="32"/>
        </w:rPr>
        <w:t>万元，其中：人员经费129.19万元，主要包括基本工资、津贴补贴、奖金、伙食补助费；公用经费5.49万元，主要包括办公费、印刷费、咨询费、手续费。</w:t>
      </w:r>
    </w:p>
    <w:p>
      <w:pPr>
        <w:pStyle w:val="9"/>
        <w:rPr>
          <w:rFonts w:hAnsi="黑体"/>
          <w:b/>
          <w:sz w:val="32"/>
          <w:szCs w:val="32"/>
        </w:rPr>
      </w:pPr>
      <w:r>
        <w:rPr>
          <w:rFonts w:hint="eastAsia" w:hAnsi="黑体"/>
          <w:b/>
          <w:sz w:val="32"/>
          <w:szCs w:val="32"/>
        </w:rPr>
        <w:t>七、一般公共预算财政拨款三公经费支出决算情况说明</w:t>
      </w:r>
    </w:p>
    <w:p>
      <w:pPr>
        <w:pStyle w:val="9"/>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“三公”经费财政拨款支出预算为</w:t>
      </w:r>
      <w:r>
        <w:rPr>
          <w:rFonts w:hint="eastAsia" w:asciiTheme="minorEastAsia" w:hAnsiTheme="minorEastAsia" w:eastAsiaTheme="minorEastAsia"/>
          <w:sz w:val="32"/>
          <w:szCs w:val="32"/>
          <w:lang w:val="en-US" w:eastAsia="zh-CN"/>
        </w:rPr>
        <w:t>2</w:t>
      </w:r>
      <w:r>
        <w:rPr>
          <w:rFonts w:hint="eastAsia" w:asciiTheme="minorEastAsia" w:hAnsiTheme="minorEastAsia" w:eastAsiaTheme="minorEastAsia"/>
          <w:sz w:val="32"/>
          <w:szCs w:val="32"/>
        </w:rPr>
        <w:t>万元，支出决算为0.8万元，完成预算的</w:t>
      </w:r>
      <w:r>
        <w:rPr>
          <w:rFonts w:hint="eastAsia" w:asciiTheme="minorEastAsia" w:hAnsiTheme="minorEastAsia" w:eastAsiaTheme="minorEastAsia"/>
          <w:sz w:val="32"/>
          <w:szCs w:val="32"/>
          <w:lang w:val="en-US" w:eastAsia="zh-CN"/>
        </w:rPr>
        <w:t>40</w:t>
      </w:r>
      <w:r>
        <w:rPr>
          <w:rFonts w:hint="eastAsia" w:asciiTheme="minorEastAsia" w:hAnsiTheme="minorEastAsia" w:eastAsiaTheme="minorEastAsia"/>
          <w:sz w:val="32"/>
          <w:szCs w:val="32"/>
        </w:rPr>
        <w:t>%，其中：</w:t>
      </w:r>
    </w:p>
    <w:p>
      <w:pPr>
        <w:pStyle w:val="9"/>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因公出国（境）费支出预算为0万元，支出决算为0万元，完成预算的0%，主要原因是没有组团出国，与上年相比减少0万元，减少0%,减少的主要原因是没有组团出国。</w:t>
      </w:r>
    </w:p>
    <w:p>
      <w:pPr>
        <w:pStyle w:val="9"/>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公务接待费支出预算为2万元，支出决算为0.8万元，完成预算的</w:t>
      </w:r>
      <w:r>
        <w:rPr>
          <w:rFonts w:hint="eastAsia" w:asciiTheme="minorEastAsia" w:hAnsiTheme="minorEastAsia" w:eastAsiaTheme="minorEastAsia"/>
          <w:color w:val="auto"/>
          <w:sz w:val="32"/>
          <w:szCs w:val="32"/>
          <w:lang w:val="en-US" w:eastAsia="zh-CN"/>
        </w:rPr>
        <w:t>40</w:t>
      </w:r>
      <w:r>
        <w:rPr>
          <w:rFonts w:hint="eastAsia" w:asciiTheme="minorEastAsia" w:hAnsiTheme="minorEastAsia" w:eastAsiaTheme="minorEastAsia"/>
          <w:color w:val="auto"/>
          <w:sz w:val="32"/>
          <w:szCs w:val="32"/>
        </w:rPr>
        <w:t>%，决算数小于年初预算数的主要原因是减少了公务接待，与上年相比减少0.44万元,减少的主要原因是公务接待减少了。</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公务用车购置费及运行维护费支出预算为0万元，支出决算为0万元，完成预算的0%，主要原因是我会无公务用车，与上年相比减少0万元，减少0%,减少的主要原因是我会无公务用车。</w:t>
      </w:r>
    </w:p>
    <w:p>
      <w:pPr>
        <w:pStyle w:val="9"/>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2019年度“三公”经费财政拨款支出决算中，公务接待费支出决算0.8万元，占</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%,因公出国（境）费支出决算0万元，占0%,公务用车购置费及运行维护费支出决算0万元，占0%。其中：</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1、因公出国（境）费支出决算为0万元，全年安排因公出国（境）团组0个，累计0人次。</w:t>
      </w:r>
      <w:r>
        <w:rPr>
          <w:rFonts w:asciiTheme="minorEastAsia" w:hAnsiTheme="minorEastAsia" w:eastAsiaTheme="minorEastAsia"/>
          <w:sz w:val="32"/>
          <w:szCs w:val="32"/>
        </w:rPr>
        <w:t xml:space="preserve"> </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2、公务接待费支出决算为0.8万元，全年共接待来访团组15个、来宾78人次，主要是接待各县市工会人员发生的接待支出。</w:t>
      </w:r>
    </w:p>
    <w:p>
      <w:pPr>
        <w:ind w:firstLine="800" w:firstLineChars="250"/>
        <w:rPr>
          <w:rFonts w:cs="黑体" w:asciiTheme="minorEastAsia" w:hAnsiTheme="minorEastAsia"/>
          <w:color w:val="000000"/>
          <w:kern w:val="0"/>
          <w:sz w:val="32"/>
          <w:szCs w:val="32"/>
        </w:rPr>
      </w:pPr>
      <w:r>
        <w:rPr>
          <w:rFonts w:hint="eastAsia" w:asciiTheme="minorEastAsia" w:hAnsiTheme="minorEastAsia"/>
          <w:sz w:val="32"/>
          <w:szCs w:val="32"/>
        </w:rPr>
        <w:t>3、公务用车购置费及运行维护费支出决算为0万元，其中：公务用车购置费0万元，总工会（单位本级或某二级机构）更新公务用车0辆</w:t>
      </w:r>
      <w:r>
        <w:rPr>
          <w:rFonts w:hint="eastAsia" w:asciiTheme="minorEastAsia" w:hAnsiTheme="minorEastAsia"/>
          <w:color w:val="000000" w:themeColor="text1"/>
          <w:sz w:val="32"/>
          <w:szCs w:val="32"/>
        </w:rPr>
        <w:t>。</w:t>
      </w:r>
      <w:r>
        <w:rPr>
          <w:rFonts w:hint="eastAsia" w:asciiTheme="minorEastAsia" w:hAnsiTheme="minorEastAsia"/>
          <w:sz w:val="32"/>
          <w:szCs w:val="32"/>
        </w:rPr>
        <w:t>公务用车运行维护费0万元，截止2019年12月31日，我单位开支财政拨款的公务用车保有量为0辆。</w:t>
      </w:r>
    </w:p>
    <w:p>
      <w:pPr>
        <w:pStyle w:val="9"/>
        <w:rPr>
          <w:rFonts w:hAnsi="黑体"/>
          <w:b/>
          <w:sz w:val="32"/>
          <w:szCs w:val="32"/>
        </w:rPr>
      </w:pPr>
      <w:r>
        <w:rPr>
          <w:rFonts w:hint="eastAsia" w:hAnsi="黑体"/>
          <w:b/>
          <w:sz w:val="32"/>
          <w:szCs w:val="32"/>
        </w:rPr>
        <w:t>八、政府性基金预算收入支出决算情况</w:t>
      </w:r>
    </w:p>
    <w:p>
      <w:pPr>
        <w:pStyle w:val="9"/>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 xml:space="preserve">     2019年度政府性基金预算财政拨款收入0万元；年初结转和结余0万元；支出0万元，其中基本支出0万元，项目支出0万元；年末结转和结余0万元。本单位无政府性基金收支。</w:t>
      </w:r>
    </w:p>
    <w:p>
      <w:pPr>
        <w:pStyle w:val="9"/>
        <w:rPr>
          <w:rFonts w:hAnsi="黑体"/>
          <w:b/>
          <w:sz w:val="32"/>
          <w:szCs w:val="32"/>
        </w:rPr>
      </w:pPr>
      <w:r>
        <w:rPr>
          <w:rFonts w:hint="eastAsia" w:hAnsi="黑体"/>
          <w:b/>
          <w:sz w:val="32"/>
          <w:szCs w:val="32"/>
        </w:rPr>
        <w:t>九、关于2019年度预算绩效情况说明</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本部门预算绩效管理开展情况、绩效目标和绩效评价报告，按照财政绩效部门要求已公开或其他有关部门要求需随同部门决算一同公开的绩效信息，作为附件公开。</w:t>
      </w:r>
    </w:p>
    <w:p>
      <w:pPr>
        <w:pStyle w:val="9"/>
        <w:rPr>
          <w:rFonts w:hAnsi="黑体"/>
          <w:b/>
          <w:sz w:val="32"/>
          <w:szCs w:val="32"/>
        </w:rPr>
      </w:pPr>
      <w:r>
        <w:rPr>
          <w:rFonts w:hint="eastAsia" w:hAnsi="黑体"/>
          <w:b/>
          <w:sz w:val="32"/>
          <w:szCs w:val="32"/>
        </w:rPr>
        <w:t>十、其他重要事项情况说明</w:t>
      </w:r>
    </w:p>
    <w:p>
      <w:pPr>
        <w:ind w:firstLine="480" w:firstLineChars="15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（一）机关运行经费支出情况</w:t>
      </w:r>
    </w:p>
    <w:p>
      <w:pPr>
        <w:widowControl/>
        <w:ind w:firstLine="627" w:firstLineChars="196"/>
        <w:rPr>
          <w:rFonts w:ascii="仿宋_GB2312" w:eastAsia="仿宋_GB2312"/>
          <w:b/>
          <w:bCs/>
          <w:kern w:val="0"/>
          <w:sz w:val="32"/>
          <w:szCs w:val="32"/>
        </w:rPr>
      </w:pPr>
      <w:r>
        <w:rPr>
          <w:rFonts w:hint="eastAsia" w:cs="黑体" w:asciiTheme="minorEastAsia" w:hAnsiTheme="minorEastAsia"/>
          <w:kern w:val="0"/>
          <w:sz w:val="32"/>
          <w:szCs w:val="32"/>
        </w:rPr>
        <w:t>本部门2019 年度机关运行经费支出</w:t>
      </w:r>
      <w:r>
        <w:rPr>
          <w:rFonts w:hint="eastAsia" w:cs="黑体" w:asciiTheme="minorEastAsia" w:hAnsiTheme="minorEastAsia"/>
          <w:kern w:val="0"/>
          <w:sz w:val="32"/>
          <w:szCs w:val="32"/>
          <w:lang w:val="en-US" w:eastAsia="zh-CN"/>
        </w:rPr>
        <w:t>5.49</w:t>
      </w:r>
      <w:r>
        <w:rPr>
          <w:rFonts w:hint="eastAsia" w:cs="黑体" w:asciiTheme="minorEastAsia" w:hAnsiTheme="minorEastAsia"/>
          <w:kern w:val="0"/>
          <w:sz w:val="32"/>
          <w:szCs w:val="32"/>
        </w:rPr>
        <w:t>万元，比年初预算数增加0万元，增长0%。比2018年增加</w:t>
      </w:r>
      <w:r>
        <w:rPr>
          <w:rFonts w:hint="eastAsia" w:cs="黑体" w:asciiTheme="minorEastAsia" w:hAnsiTheme="minorEastAsia"/>
          <w:kern w:val="0"/>
          <w:sz w:val="32"/>
          <w:szCs w:val="32"/>
          <w:lang w:val="en-US" w:eastAsia="zh-CN"/>
        </w:rPr>
        <w:t>1</w:t>
      </w:r>
      <w:r>
        <w:rPr>
          <w:rFonts w:hint="eastAsia" w:cs="黑体" w:asciiTheme="minorEastAsia" w:hAnsiTheme="minorEastAsia"/>
          <w:kern w:val="0"/>
          <w:sz w:val="32"/>
          <w:szCs w:val="32"/>
        </w:rPr>
        <w:t>.83万元，增长的原因是人员工资及津补贴增长了。</w:t>
      </w:r>
    </w:p>
    <w:p>
      <w:pPr>
        <w:ind w:firstLine="640" w:firstLineChars="20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（二）一般性支出情况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2019年本部门开支会议费7万元，用于召开全区工会换届选举会议，人数320人，内容为印刷会议资料、购买</w:t>
      </w:r>
      <w:bookmarkStart w:id="0" w:name="_GoBack"/>
      <w:bookmarkEnd w:id="0"/>
      <w:r>
        <w:rPr>
          <w:rFonts w:hint="eastAsia" w:cs="黑体" w:asciiTheme="minorEastAsia" w:hAnsiTheme="minorEastAsia"/>
          <w:color w:val="000000"/>
          <w:kern w:val="0"/>
          <w:sz w:val="32"/>
          <w:szCs w:val="32"/>
        </w:rPr>
        <w:t>会议用品、租赁会议场地、会议人员的开餐及住宿费用；开支培训费0万元；举办节庆、晚会、论坛、赛事活动，开支0万元。</w:t>
      </w:r>
    </w:p>
    <w:p>
      <w:pPr>
        <w:ind w:firstLine="640" w:firstLineChars="20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（三）政府采购支出情况</w:t>
      </w:r>
    </w:p>
    <w:p>
      <w:pPr>
        <w:ind w:firstLine="640" w:firstLineChars="200"/>
        <w:rPr>
          <w:rFonts w:cs="黑体" w:asciiTheme="minorEastAsia" w:hAnsiTheme="minorEastAsia"/>
          <w:i/>
          <w:color w:val="FF0000"/>
          <w:kern w:val="0"/>
          <w:sz w:val="32"/>
          <w:szCs w:val="32"/>
        </w:rPr>
      </w:pPr>
      <w:r>
        <w:rPr>
          <w:rFonts w:hint="eastAsia" w:cs="黑体" w:asciiTheme="minorEastAsia" w:hAnsiTheme="minorEastAsia"/>
          <w:color w:val="000000"/>
          <w:kern w:val="0"/>
          <w:sz w:val="32"/>
          <w:szCs w:val="32"/>
        </w:rPr>
        <w:t>本部门2019年度政府采购支出总额0万元，其中：政府采购货物支出0万元、政府采购工程支出0万元、政府采购服务支出0万元。授予中小企业合同金额0万元，占政府采购支出总额的0%，其中：授予小微企业合同金额0万元，占政府采购支出总额的0%。</w:t>
      </w:r>
    </w:p>
    <w:p>
      <w:pPr>
        <w:ind w:firstLine="480" w:firstLineChars="15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（四）国有资产占用情况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截至2019年12月31日，本单位共有车辆0辆，其中，领导干部用车0辆、机要通信用车0辆、应急保障用车0辆、执法执勤用车0辆、特种专业技术用车0辆、其他用车0辆；单位价值50万元以上通用设备0台（套）；单位价值100万元以上专用设备0台（套）。</w:t>
      </w:r>
    </w:p>
    <w:p>
      <w:pPr>
        <w:widowControl/>
        <w:jc w:val="left"/>
        <w:rPr>
          <w:rFonts w:cs="黑体" w:asciiTheme="minorEastAsia" w:hAnsiTheme="minorEastAsia"/>
          <w:color w:val="000000"/>
          <w:kern w:val="0"/>
          <w:sz w:val="32"/>
          <w:szCs w:val="32"/>
        </w:rPr>
      </w:pPr>
      <w:r>
        <w:rPr>
          <w:rFonts w:cs="黑体" w:asciiTheme="minorEastAsia" w:hAnsiTheme="minorEastAsia"/>
          <w:color w:val="000000"/>
          <w:kern w:val="0"/>
          <w:sz w:val="32"/>
          <w:szCs w:val="32"/>
        </w:rPr>
        <w:br w:type="page"/>
      </w:r>
    </w:p>
    <w:p>
      <w:pPr>
        <w:ind w:firstLine="640" w:firstLineChars="200"/>
        <w:rPr>
          <w:rFonts w:cs="黑体" w:asciiTheme="minorEastAsia" w:hAnsiTheme="minorEastAsia"/>
          <w:color w:val="000000"/>
          <w:kern w:val="0"/>
          <w:sz w:val="32"/>
          <w:szCs w:val="3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spacing w:line="600" w:lineRule="exact"/>
        <w:ind w:firstLine="640" w:firstLineChars="200"/>
        <w:rPr>
          <w:rFonts w:ascii="Calibri" w:hAnsi="Calibri" w:eastAsia="仿宋_GB2312" w:cs="宋体"/>
          <w:kern w:val="0"/>
          <w:sz w:val="32"/>
          <w:szCs w:val="32"/>
        </w:rPr>
      </w:pPr>
      <w:r>
        <w:rPr>
          <w:rFonts w:hint="eastAsia" w:eastAsia="仿宋_GB2312"/>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pPr>
        <w:spacing w:line="600" w:lineRule="exact"/>
        <w:ind w:firstLine="640" w:firstLineChars="200"/>
        <w:rPr>
          <w:rFonts w:eastAsia="仿宋_GB2312"/>
          <w:kern w:val="0"/>
          <w:sz w:val="32"/>
          <w:szCs w:val="32"/>
        </w:rPr>
      </w:pPr>
      <w:r>
        <w:rPr>
          <w:rFonts w:hint="eastAsia" w:eastAsia="仿宋_GB2312"/>
          <w:kern w:val="0"/>
          <w:sz w:val="32"/>
          <w:szCs w:val="32"/>
        </w:rPr>
        <w:t>二、</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经费：纳入财政预算管理的</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pPr>
        <w:widowControl/>
        <w:spacing w:line="600" w:lineRule="exact"/>
        <w:rPr>
          <w:rFonts w:ascii="Times New Roman" w:hAnsi="Times New Roman" w:eastAsia="黑体" w:cs="Times New Roman"/>
          <w:bCs/>
          <w:kern w:val="0"/>
          <w:sz w:val="32"/>
          <w:szCs w:val="32"/>
        </w:rPr>
      </w:pPr>
    </w:p>
    <w:p>
      <w:pPr>
        <w:widowControl/>
        <w:jc w:val="left"/>
        <w:rPr>
          <w:rFonts w:asciiTheme="minorEastAsia" w:hAnsiTheme="minorEastAsia"/>
          <w:i/>
          <w:color w:val="FF0000"/>
          <w:sz w:val="32"/>
          <w:szCs w:val="32"/>
        </w:rPr>
      </w:pPr>
      <w:r>
        <w:rPr>
          <w:rFonts w:asciiTheme="minorEastAsia" w:hAnsiTheme="minorEastAsia"/>
          <w:i/>
          <w:color w:val="FF0000"/>
          <w:sz w:val="32"/>
          <w:szCs w:val="32"/>
        </w:rPr>
        <w:br w:type="page"/>
      </w: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ind w:firstLine="720" w:firstLineChars="200"/>
        <w:jc w:val="center"/>
        <w:rPr>
          <w:rFonts w:cs="黑体" w:asciiTheme="minorEastAsia" w:hAnsiTheme="minorEastAsia"/>
          <w:b/>
          <w:color w:val="000000"/>
          <w:kern w:val="0"/>
          <w:sz w:val="36"/>
          <w:szCs w:val="32"/>
        </w:rPr>
      </w:pPr>
      <w:r>
        <w:rPr>
          <w:rFonts w:hint="eastAsia" w:cs="黑体" w:asciiTheme="minorEastAsia" w:hAnsiTheme="minorEastAsia"/>
          <w:b/>
          <w:color w:val="000000"/>
          <w:kern w:val="0"/>
          <w:sz w:val="36"/>
          <w:szCs w:val="32"/>
        </w:rPr>
        <w:t>2019年度部门整体支出绩效评价报告</w:t>
      </w:r>
    </w:p>
    <w:p>
      <w:pPr>
        <w:ind w:firstLine="720" w:firstLineChars="200"/>
        <w:jc w:val="center"/>
        <w:rPr>
          <w:rFonts w:cs="黑体" w:asciiTheme="minorEastAsia" w:hAnsiTheme="minorEastAsia"/>
          <w:b/>
          <w:color w:val="000000"/>
          <w:kern w:val="0"/>
          <w:sz w:val="36"/>
          <w:szCs w:val="32"/>
        </w:rPr>
      </w:pPr>
    </w:p>
    <w:p>
      <w:pPr>
        <w:ind w:firstLine="640" w:firstLineChars="200"/>
        <w:jc w:val="left"/>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一、部门概况</w:t>
      </w:r>
    </w:p>
    <w:p>
      <w:pPr>
        <w:ind w:firstLine="640" w:firstLineChars="200"/>
        <w:rPr>
          <w:rFonts w:ascii="宋体" w:hAnsi="宋体" w:eastAsia="宋体" w:cs="Times New Roman"/>
          <w:sz w:val="32"/>
          <w:szCs w:val="32"/>
        </w:rPr>
      </w:pPr>
      <w:r>
        <w:rPr>
          <w:rFonts w:hint="eastAsia" w:asciiTheme="minorEastAsia" w:hAnsiTheme="minorEastAsia"/>
          <w:sz w:val="32"/>
          <w:szCs w:val="32"/>
        </w:rPr>
        <w:t>1、鹤城区总工会肩负着代表和组织职工参与国家和社会事务管理，参与企业、事业单位民主管理，实施民主监督，是工会代表职工权益，依法维护职工利益的重要渠道、途径和形式；维护职工合法权益是工会的基本职责。</w:t>
      </w:r>
    </w:p>
    <w:p>
      <w:pPr>
        <w:widowControl/>
        <w:shd w:val="clear" w:color="auto" w:fill="FFFFFF"/>
        <w:spacing w:line="330" w:lineRule="atLeast"/>
        <w:ind w:firstLine="627" w:firstLineChars="196"/>
        <w:jc w:val="left"/>
        <w:rPr>
          <w:rFonts w:asciiTheme="minorEastAsia" w:hAnsiTheme="minorEastAsia"/>
          <w:color w:val="333333"/>
          <w:sz w:val="32"/>
          <w:szCs w:val="32"/>
        </w:rPr>
      </w:pPr>
      <w:r>
        <w:rPr>
          <w:rFonts w:hint="eastAsia" w:cs="Times New Roman" w:asciiTheme="minorEastAsia" w:hAnsiTheme="minorEastAsia"/>
          <w:sz w:val="32"/>
          <w:szCs w:val="32"/>
        </w:rPr>
        <w:t>2、</w:t>
      </w:r>
      <w:r>
        <w:rPr>
          <w:rFonts w:hint="eastAsia" w:asciiTheme="minorEastAsia" w:hAnsiTheme="minorEastAsia"/>
          <w:bCs/>
          <w:sz w:val="32"/>
          <w:szCs w:val="32"/>
        </w:rPr>
        <w:t>总工会</w:t>
      </w:r>
      <w:r>
        <w:rPr>
          <w:rFonts w:hint="eastAsia" w:asciiTheme="minorEastAsia" w:hAnsiTheme="minorEastAsia"/>
          <w:sz w:val="32"/>
          <w:szCs w:val="32"/>
        </w:rPr>
        <w:t>作为一般部门预算单位，</w:t>
      </w:r>
      <w:r>
        <w:rPr>
          <w:rFonts w:hint="eastAsia" w:asciiTheme="minorEastAsia" w:hAnsiTheme="minorEastAsia"/>
          <w:bCs/>
          <w:kern w:val="0"/>
          <w:sz w:val="32"/>
          <w:szCs w:val="32"/>
        </w:rPr>
        <w:t>内设机构包括</w:t>
      </w:r>
      <w:r>
        <w:rPr>
          <w:rFonts w:hint="eastAsia" w:asciiTheme="minorEastAsia" w:hAnsiTheme="minorEastAsia"/>
          <w:sz w:val="32"/>
          <w:szCs w:val="32"/>
        </w:rPr>
        <w:t>：</w:t>
      </w:r>
      <w:r>
        <w:rPr>
          <w:rFonts w:hint="eastAsia" w:asciiTheme="minorEastAsia" w:hAnsiTheme="minorEastAsia"/>
          <w:bCs/>
          <w:sz w:val="32"/>
          <w:szCs w:val="32"/>
        </w:rPr>
        <w:t>机关内设4个部室,办公室</w:t>
      </w:r>
      <w:r>
        <w:rPr>
          <w:rFonts w:hint="eastAsia" w:asciiTheme="minorEastAsia" w:hAnsiTheme="minorEastAsia"/>
          <w:b/>
          <w:bCs/>
          <w:sz w:val="32"/>
          <w:szCs w:val="32"/>
        </w:rPr>
        <w:t>、</w:t>
      </w:r>
      <w:r>
        <w:rPr>
          <w:rFonts w:hint="eastAsia" w:asciiTheme="minorEastAsia" w:hAnsiTheme="minorEastAsia"/>
          <w:bCs/>
          <w:sz w:val="32"/>
          <w:szCs w:val="32"/>
        </w:rPr>
        <w:t>法保部、组宣部、财务部</w:t>
      </w:r>
      <w:r>
        <w:rPr>
          <w:rFonts w:hint="eastAsia" w:asciiTheme="minorEastAsia" w:hAnsiTheme="minorEastAsia"/>
          <w:color w:val="333333"/>
          <w:kern w:val="0"/>
          <w:sz w:val="32"/>
          <w:szCs w:val="32"/>
          <w:shd w:val="clear" w:color="auto" w:fill="FFFFFF"/>
        </w:rPr>
        <w:t>。</w:t>
      </w:r>
      <w:r>
        <w:rPr>
          <w:rFonts w:hint="eastAsia" w:asciiTheme="minorEastAsia" w:hAnsiTheme="minorEastAsia"/>
          <w:bCs/>
          <w:sz w:val="32"/>
          <w:szCs w:val="32"/>
        </w:rPr>
        <w:t>2020年我会编制人数为</w:t>
      </w:r>
      <w:r>
        <w:rPr>
          <w:rFonts w:asciiTheme="minorEastAsia" w:hAnsiTheme="minorEastAsia"/>
          <w:sz w:val="32"/>
          <w:szCs w:val="32"/>
        </w:rPr>
        <w:t>在职编制数11人（其中行政编制3人，事业编制6人，自收自支编制2人）</w:t>
      </w:r>
      <w:r>
        <w:rPr>
          <w:rFonts w:hint="eastAsia" w:asciiTheme="minorEastAsia" w:hAnsiTheme="minorEastAsia"/>
          <w:sz w:val="32"/>
          <w:szCs w:val="32"/>
        </w:rPr>
        <w:t>,</w:t>
      </w:r>
      <w:r>
        <w:rPr>
          <w:rFonts w:asciiTheme="minorEastAsia" w:hAnsiTheme="minorEastAsia"/>
          <w:sz w:val="32"/>
          <w:szCs w:val="32"/>
        </w:rPr>
        <w:t>离退休人员1</w:t>
      </w:r>
      <w:r>
        <w:rPr>
          <w:rFonts w:hint="eastAsia" w:asciiTheme="minorEastAsia" w:hAnsiTheme="minorEastAsia"/>
          <w:sz w:val="32"/>
          <w:szCs w:val="32"/>
        </w:rPr>
        <w:t>3</w:t>
      </w:r>
      <w:r>
        <w:rPr>
          <w:rFonts w:asciiTheme="minorEastAsia" w:hAnsiTheme="minorEastAsia"/>
          <w:sz w:val="32"/>
          <w:szCs w:val="32"/>
        </w:rPr>
        <w:t>人（离休1人，退休</w:t>
      </w:r>
      <w:r>
        <w:rPr>
          <w:rFonts w:hint="eastAsia" w:asciiTheme="minorEastAsia" w:hAnsiTheme="minorEastAsia"/>
          <w:sz w:val="32"/>
          <w:szCs w:val="32"/>
        </w:rPr>
        <w:t>12</w:t>
      </w:r>
      <w:r>
        <w:rPr>
          <w:rFonts w:asciiTheme="minorEastAsia" w:hAnsiTheme="minorEastAsia"/>
          <w:sz w:val="32"/>
          <w:szCs w:val="32"/>
        </w:rPr>
        <w:t>人）</w:t>
      </w:r>
      <w:r>
        <w:rPr>
          <w:rFonts w:hint="eastAsia" w:asciiTheme="minorEastAsia" w:hAnsiTheme="minorEastAsia"/>
          <w:color w:val="333333"/>
          <w:kern w:val="0"/>
          <w:sz w:val="32"/>
          <w:szCs w:val="32"/>
          <w:shd w:val="clear" w:color="auto" w:fill="FFFFFF"/>
        </w:rPr>
        <w:t>。</w:t>
      </w:r>
    </w:p>
    <w:p>
      <w:pPr>
        <w:widowControl/>
        <w:spacing w:line="600" w:lineRule="exact"/>
        <w:ind w:firstLine="640" w:firstLineChars="200"/>
        <w:rPr>
          <w:rFonts w:asciiTheme="minorEastAsia" w:hAnsiTheme="minorEastAsia"/>
          <w:b/>
          <w:bCs/>
          <w:kern w:val="0"/>
          <w:sz w:val="32"/>
          <w:szCs w:val="32"/>
        </w:rPr>
      </w:pPr>
      <w:r>
        <w:rPr>
          <w:rFonts w:hint="eastAsia" w:asciiTheme="minorEastAsia" w:hAnsiTheme="minorEastAsia"/>
          <w:b/>
          <w:bCs/>
          <w:kern w:val="0"/>
          <w:sz w:val="32"/>
          <w:szCs w:val="32"/>
        </w:rPr>
        <w:t>二、部门收支</w:t>
      </w:r>
    </w:p>
    <w:p>
      <w:pPr>
        <w:widowControl/>
        <w:spacing w:line="600" w:lineRule="exact"/>
        <w:ind w:firstLine="640" w:firstLineChars="200"/>
        <w:rPr>
          <w:rFonts w:asciiTheme="minorEastAsia" w:hAnsiTheme="minorEastAsia"/>
          <w:bCs/>
          <w:kern w:val="0"/>
          <w:sz w:val="32"/>
          <w:szCs w:val="32"/>
        </w:rPr>
      </w:pPr>
      <w:r>
        <w:rPr>
          <w:rFonts w:hint="eastAsia" w:asciiTheme="minorEastAsia" w:hAnsiTheme="minorEastAsia"/>
          <w:bCs/>
          <w:kern w:val="0"/>
          <w:sz w:val="32"/>
          <w:szCs w:val="32"/>
        </w:rPr>
        <w:t>1、收入情况：2019年财政拨款收入239.67万元。</w:t>
      </w:r>
    </w:p>
    <w:p>
      <w:pPr>
        <w:widowControl/>
        <w:spacing w:line="600" w:lineRule="exact"/>
        <w:ind w:firstLine="480" w:firstLineChars="150"/>
        <w:rPr>
          <w:rFonts w:asciiTheme="minorEastAsia" w:hAnsiTheme="minorEastAsia"/>
          <w:bCs/>
          <w:kern w:val="0"/>
          <w:sz w:val="32"/>
          <w:szCs w:val="32"/>
        </w:rPr>
      </w:pPr>
      <w:r>
        <w:rPr>
          <w:rFonts w:hint="eastAsia" w:asciiTheme="minorEastAsia" w:hAnsiTheme="minorEastAsia"/>
          <w:bCs/>
          <w:kern w:val="0"/>
          <w:sz w:val="32"/>
          <w:szCs w:val="32"/>
        </w:rPr>
        <w:t xml:space="preserve"> 2、支出情况：2019年总支出239.67万元，其中：基本支出134.67万元，项目支出105万元。</w:t>
      </w:r>
    </w:p>
    <w:p>
      <w:pPr>
        <w:widowControl/>
        <w:spacing w:line="600" w:lineRule="exact"/>
        <w:ind w:firstLine="640" w:firstLineChars="200"/>
        <w:rPr>
          <w:rFonts w:asciiTheme="minorEastAsia" w:hAnsiTheme="minorEastAsia"/>
          <w:b/>
          <w:bCs/>
          <w:kern w:val="0"/>
          <w:sz w:val="32"/>
          <w:szCs w:val="32"/>
        </w:rPr>
      </w:pPr>
      <w:r>
        <w:rPr>
          <w:rFonts w:hint="eastAsia" w:asciiTheme="minorEastAsia" w:hAnsiTheme="minorEastAsia"/>
          <w:b/>
          <w:bCs/>
          <w:kern w:val="0"/>
          <w:sz w:val="32"/>
          <w:szCs w:val="32"/>
        </w:rPr>
        <w:t>三、绩效情况</w:t>
      </w: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1、2019年部门整体支出绩效目标：确保鹤城区2019年工会事业工作正常运行。</w:t>
      </w:r>
      <w:r>
        <w:rPr>
          <w:rFonts w:cs="黑体" w:asciiTheme="minorEastAsia" w:hAnsiTheme="minorEastAsia"/>
          <w:color w:val="000000"/>
          <w:kern w:val="0"/>
          <w:sz w:val="32"/>
          <w:szCs w:val="32"/>
        </w:rPr>
        <w:cr/>
      </w:r>
      <w:r>
        <w:rPr>
          <w:rFonts w:hint="eastAsia" w:cs="黑体" w:asciiTheme="minorEastAsia" w:hAnsiTheme="minorEastAsia"/>
          <w:color w:val="000000"/>
          <w:kern w:val="0"/>
          <w:sz w:val="32"/>
          <w:szCs w:val="32"/>
        </w:rPr>
        <w:t xml:space="preserve">    2、2019年部门整体支出绩效自评：我会严格执行财经纪律相关管理规定，确保了单位正常运行和重大项目实施，较好地完成了2019年预算编制和决算汇总工作，2019年目标任务基本完成。但仍存在预决算编制口径不一致，执行不到位，部分项目进度较慢，绩效管理工作需加强等</w:t>
      </w: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6866B10"/>
    <w:multiLevelType w:val="multilevel"/>
    <w:tmpl w:val="36866B10"/>
    <w:lvl w:ilvl="0" w:tentative="0">
      <w:start w:val="1"/>
      <w:numFmt w:val="japaneseCounting"/>
      <w:lvlText w:val="%1、"/>
      <w:lvlJc w:val="left"/>
      <w:pPr>
        <w:ind w:left="1713" w:hanging="720"/>
      </w:pPr>
      <w:rPr>
        <w:rFonts w:hint="default"/>
      </w:rPr>
    </w:lvl>
    <w:lvl w:ilvl="1" w:tentative="0">
      <w:start w:val="1"/>
      <w:numFmt w:val="lowerLetter"/>
      <w:lvlText w:val="%2)"/>
      <w:lvlJc w:val="left"/>
      <w:pPr>
        <w:ind w:left="1833" w:hanging="420"/>
      </w:pPr>
    </w:lvl>
    <w:lvl w:ilvl="2" w:tentative="0">
      <w:start w:val="1"/>
      <w:numFmt w:val="lowerRoman"/>
      <w:lvlText w:val="%3."/>
      <w:lvlJc w:val="right"/>
      <w:pPr>
        <w:ind w:left="2253" w:hanging="420"/>
      </w:pPr>
    </w:lvl>
    <w:lvl w:ilvl="3" w:tentative="0">
      <w:start w:val="1"/>
      <w:numFmt w:val="decimal"/>
      <w:lvlText w:val="%4."/>
      <w:lvlJc w:val="left"/>
      <w:pPr>
        <w:ind w:left="2673" w:hanging="420"/>
      </w:pPr>
    </w:lvl>
    <w:lvl w:ilvl="4" w:tentative="0">
      <w:start w:val="1"/>
      <w:numFmt w:val="lowerLetter"/>
      <w:lvlText w:val="%5)"/>
      <w:lvlJc w:val="left"/>
      <w:pPr>
        <w:ind w:left="3093" w:hanging="420"/>
      </w:pPr>
    </w:lvl>
    <w:lvl w:ilvl="5" w:tentative="0">
      <w:start w:val="1"/>
      <w:numFmt w:val="lowerRoman"/>
      <w:lvlText w:val="%6."/>
      <w:lvlJc w:val="right"/>
      <w:pPr>
        <w:ind w:left="3513" w:hanging="420"/>
      </w:pPr>
    </w:lvl>
    <w:lvl w:ilvl="6" w:tentative="0">
      <w:start w:val="1"/>
      <w:numFmt w:val="decimal"/>
      <w:lvlText w:val="%7."/>
      <w:lvlJc w:val="left"/>
      <w:pPr>
        <w:ind w:left="3933" w:hanging="420"/>
      </w:pPr>
    </w:lvl>
    <w:lvl w:ilvl="7" w:tentative="0">
      <w:start w:val="1"/>
      <w:numFmt w:val="lowerLetter"/>
      <w:lvlText w:val="%8)"/>
      <w:lvlJc w:val="left"/>
      <w:pPr>
        <w:ind w:left="4353" w:hanging="420"/>
      </w:pPr>
    </w:lvl>
    <w:lvl w:ilvl="8" w:tentative="0">
      <w:start w:val="1"/>
      <w:numFmt w:val="lowerRoman"/>
      <w:lvlText w:val="%9."/>
      <w:lvlJc w:val="right"/>
      <w:pPr>
        <w:ind w:left="4773"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506F9"/>
    <w:rsid w:val="0002229B"/>
    <w:rsid w:val="00022C78"/>
    <w:rsid w:val="000273BD"/>
    <w:rsid w:val="00031EE1"/>
    <w:rsid w:val="000415B7"/>
    <w:rsid w:val="000658A3"/>
    <w:rsid w:val="00074155"/>
    <w:rsid w:val="000A3F69"/>
    <w:rsid w:val="000B15A2"/>
    <w:rsid w:val="000D39DB"/>
    <w:rsid w:val="00110FBC"/>
    <w:rsid w:val="001461A0"/>
    <w:rsid w:val="00152C6D"/>
    <w:rsid w:val="00162D39"/>
    <w:rsid w:val="001A67DB"/>
    <w:rsid w:val="001D51E5"/>
    <w:rsid w:val="001E0CD3"/>
    <w:rsid w:val="001F0C3B"/>
    <w:rsid w:val="00214427"/>
    <w:rsid w:val="00265724"/>
    <w:rsid w:val="00274115"/>
    <w:rsid w:val="0027426B"/>
    <w:rsid w:val="002E4C06"/>
    <w:rsid w:val="003479BD"/>
    <w:rsid w:val="0037261E"/>
    <w:rsid w:val="003741C1"/>
    <w:rsid w:val="003768D5"/>
    <w:rsid w:val="003900B6"/>
    <w:rsid w:val="00392CDD"/>
    <w:rsid w:val="00401FF7"/>
    <w:rsid w:val="00417999"/>
    <w:rsid w:val="004506F9"/>
    <w:rsid w:val="004717A2"/>
    <w:rsid w:val="00491741"/>
    <w:rsid w:val="004A3FAB"/>
    <w:rsid w:val="004C7B78"/>
    <w:rsid w:val="00500E5F"/>
    <w:rsid w:val="005122EF"/>
    <w:rsid w:val="00517C33"/>
    <w:rsid w:val="00523644"/>
    <w:rsid w:val="00526997"/>
    <w:rsid w:val="0053054D"/>
    <w:rsid w:val="0054069E"/>
    <w:rsid w:val="005767CC"/>
    <w:rsid w:val="00590D9F"/>
    <w:rsid w:val="005956F6"/>
    <w:rsid w:val="00595D26"/>
    <w:rsid w:val="005A74E6"/>
    <w:rsid w:val="005D4D55"/>
    <w:rsid w:val="005E2CFB"/>
    <w:rsid w:val="005F38FF"/>
    <w:rsid w:val="0062378F"/>
    <w:rsid w:val="00651EEC"/>
    <w:rsid w:val="00652413"/>
    <w:rsid w:val="00697DE5"/>
    <w:rsid w:val="006A351B"/>
    <w:rsid w:val="006B0422"/>
    <w:rsid w:val="006C1B53"/>
    <w:rsid w:val="006D7730"/>
    <w:rsid w:val="006E5284"/>
    <w:rsid w:val="006F3EB5"/>
    <w:rsid w:val="00702E34"/>
    <w:rsid w:val="00704395"/>
    <w:rsid w:val="00720FF1"/>
    <w:rsid w:val="00736617"/>
    <w:rsid w:val="00744221"/>
    <w:rsid w:val="007733F0"/>
    <w:rsid w:val="00812ED5"/>
    <w:rsid w:val="0081622F"/>
    <w:rsid w:val="008277D9"/>
    <w:rsid w:val="008474BB"/>
    <w:rsid w:val="008738BA"/>
    <w:rsid w:val="008A3E8D"/>
    <w:rsid w:val="008A7DCA"/>
    <w:rsid w:val="008E2971"/>
    <w:rsid w:val="009237C4"/>
    <w:rsid w:val="00950252"/>
    <w:rsid w:val="00967F5D"/>
    <w:rsid w:val="00991AA7"/>
    <w:rsid w:val="009A0F95"/>
    <w:rsid w:val="009A25E9"/>
    <w:rsid w:val="009B3ADF"/>
    <w:rsid w:val="009C3B52"/>
    <w:rsid w:val="00A058A9"/>
    <w:rsid w:val="00A42218"/>
    <w:rsid w:val="00A70249"/>
    <w:rsid w:val="00AA3BFC"/>
    <w:rsid w:val="00AB660A"/>
    <w:rsid w:val="00AC7183"/>
    <w:rsid w:val="00AF1C84"/>
    <w:rsid w:val="00B06240"/>
    <w:rsid w:val="00B333C5"/>
    <w:rsid w:val="00B33BEA"/>
    <w:rsid w:val="00B57C9F"/>
    <w:rsid w:val="00B845B3"/>
    <w:rsid w:val="00B85D8B"/>
    <w:rsid w:val="00BC7861"/>
    <w:rsid w:val="00BE3674"/>
    <w:rsid w:val="00BF4422"/>
    <w:rsid w:val="00C3049A"/>
    <w:rsid w:val="00C31B1E"/>
    <w:rsid w:val="00C57FE7"/>
    <w:rsid w:val="00C77645"/>
    <w:rsid w:val="00CE04C3"/>
    <w:rsid w:val="00CE1889"/>
    <w:rsid w:val="00CE2F49"/>
    <w:rsid w:val="00CE76A0"/>
    <w:rsid w:val="00D148C6"/>
    <w:rsid w:val="00DD06FF"/>
    <w:rsid w:val="00DD5D0E"/>
    <w:rsid w:val="00DD5FE9"/>
    <w:rsid w:val="00E00C7A"/>
    <w:rsid w:val="00E01929"/>
    <w:rsid w:val="00E27207"/>
    <w:rsid w:val="00E55B68"/>
    <w:rsid w:val="00EE5252"/>
    <w:rsid w:val="00F12B52"/>
    <w:rsid w:val="00F74360"/>
    <w:rsid w:val="00FB4392"/>
    <w:rsid w:val="00FB462F"/>
    <w:rsid w:val="00FE16FA"/>
    <w:rsid w:val="00FE328A"/>
    <w:rsid w:val="33243A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paragraph" w:customStyle="1" w:styleId="9">
    <w:name w:val="Defaul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0">
    <w:name w:val="List Paragraph"/>
    <w:basedOn w:val="1"/>
    <w:qFormat/>
    <w:uiPriority w:val="34"/>
    <w:pPr>
      <w:ind w:firstLine="420" w:firstLineChars="200"/>
    </w:pPr>
  </w:style>
  <w:style w:type="character" w:customStyle="1" w:styleId="11">
    <w:name w:val="批注框文本 Char"/>
    <w:basedOn w:val="6"/>
    <w:link w:val="2"/>
    <w:semiHidden/>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52CDFE7-E9CE-4AEA-95D4-247ABAA6B9D4}">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17</Pages>
  <Words>761</Words>
  <Characters>4341</Characters>
  <Lines>36</Lines>
  <Paragraphs>10</Paragraphs>
  <TotalTime>4</TotalTime>
  <ScaleCrop>false</ScaleCrop>
  <LinksUpToDate>false</LinksUpToDate>
  <CharactersWithSpaces>5092</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2021-06-03T08:58:00Z</dcterms:created>
  <dc:creator>李航 null</dc:creator>
  <cp:lastModifiedBy>且歌</cp:lastModifiedBy>
  <cp:lastPrinted>2020-07-15T07:25:00Z</cp:lastPrinted>
  <dcterms:modified xsi:type="dcterms:W3CDTF">2021-06-06T12:08:18Z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CDDADF6401504A7DA4DD44DB92DF4CCD</vt:lpwstr>
  </property>
</Properties>
</file>