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2019年度</w:t>
      </w:r>
    </w:p>
    <w:p>
      <w:pPr>
        <w:pStyle w:val="10"/>
        <w:jc w:val="center"/>
        <w:rPr>
          <w:sz w:val="84"/>
          <w:szCs w:val="84"/>
        </w:rPr>
      </w:pPr>
      <w:r>
        <w:rPr>
          <w:rFonts w:hint="eastAsia"/>
          <w:sz w:val="84"/>
          <w:szCs w:val="84"/>
        </w:rPr>
        <w:t>区农机事务中心部门决算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spacing w:line="540" w:lineRule="exact"/>
        <w:jc w:val="center"/>
        <w:rPr>
          <w:sz w:val="56"/>
          <w:szCs w:val="56"/>
        </w:rPr>
      </w:pPr>
    </w:p>
    <w:p>
      <w:pPr>
        <w:pStyle w:val="10"/>
        <w:spacing w:line="520" w:lineRule="exact"/>
        <w:jc w:val="center"/>
        <w:rPr>
          <w:sz w:val="56"/>
          <w:szCs w:val="56"/>
        </w:rPr>
      </w:pPr>
      <w:r>
        <w:rPr>
          <w:rFonts w:hint="eastAsia"/>
          <w:sz w:val="56"/>
          <w:szCs w:val="56"/>
        </w:rPr>
        <w:t>目录</w:t>
      </w:r>
    </w:p>
    <w:p>
      <w:pPr>
        <w:pStyle w:val="10"/>
        <w:spacing w:line="520" w:lineRule="exact"/>
        <w:rPr>
          <w:rFonts w:ascii="仿宋_GB2312" w:hAnsi="仿宋_GB2312" w:cs="仿宋_GB2312"/>
          <w:b/>
          <w:sz w:val="28"/>
          <w:szCs w:val="28"/>
        </w:rPr>
      </w:pPr>
      <w:r>
        <w:rPr>
          <w:rFonts w:hint="eastAsia"/>
          <w:b/>
          <w:sz w:val="28"/>
          <w:szCs w:val="28"/>
        </w:rPr>
        <w:t>第一部分区农机事务中心单位概况</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区农机事务中心单位概况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Theme="minorEastAsia" w:hAnsiTheme="minorEastAsia"/>
          <w:sz w:val="32"/>
          <w:szCs w:val="32"/>
        </w:rPr>
      </w:pPr>
      <w:r>
        <w:rPr>
          <w:rFonts w:hint="eastAsia" w:asciiTheme="minorEastAsia" w:hAnsiTheme="minorEastAsia"/>
          <w:sz w:val="32"/>
          <w:szCs w:val="32"/>
        </w:rPr>
        <w:t>区农机事务中心贯彻落实党中央和省委、 市委、关于农业农村和农业机械化工作的方针政策和决策部署，全面落实区委关于农业农村和农业机械化工作的部署要求，在履行职责过程中坚持和加强党对农业机械化工作的集中统一领导。主要职责是：</w:t>
      </w:r>
    </w:p>
    <w:p>
      <w:pPr>
        <w:ind w:firstLine="640" w:firstLineChars="200"/>
        <w:jc w:val="left"/>
        <w:rPr>
          <w:rFonts w:asciiTheme="minorEastAsia" w:hAnsiTheme="minorEastAsia"/>
          <w:sz w:val="32"/>
          <w:szCs w:val="32"/>
        </w:rPr>
      </w:pPr>
      <w:r>
        <w:rPr>
          <w:rFonts w:hint="eastAsia" w:asciiTheme="minorEastAsia" w:hAnsiTheme="minorEastAsia"/>
          <w:sz w:val="32"/>
          <w:szCs w:val="32"/>
        </w:rPr>
        <w:t>（一）为全区农业农机械化发展提供技术性支撑和公益性、事业性服务。</w:t>
      </w:r>
    </w:p>
    <w:p>
      <w:pPr>
        <w:ind w:firstLine="640" w:firstLineChars="200"/>
        <w:jc w:val="left"/>
        <w:rPr>
          <w:rFonts w:asciiTheme="minorEastAsia" w:hAnsiTheme="minorEastAsia"/>
          <w:sz w:val="32"/>
          <w:szCs w:val="32"/>
        </w:rPr>
      </w:pPr>
      <w:r>
        <w:rPr>
          <w:rFonts w:hint="eastAsia" w:asciiTheme="minorEastAsia" w:hAnsiTheme="minorEastAsia"/>
          <w:sz w:val="32"/>
          <w:szCs w:val="32"/>
        </w:rPr>
        <w:t>（二）承担全区农业机械化事业发展规划和有关标准、技术规范的研究工作，调查研究农业机械社会化服务和产业化发展的经济、技术问题，开展相关评估论证，提出对策建议。</w:t>
      </w:r>
    </w:p>
    <w:p>
      <w:pPr>
        <w:ind w:firstLine="640" w:firstLineChars="200"/>
        <w:jc w:val="left"/>
        <w:rPr>
          <w:rFonts w:asciiTheme="minorEastAsia" w:hAnsiTheme="minorEastAsia"/>
          <w:sz w:val="32"/>
          <w:szCs w:val="32"/>
        </w:rPr>
      </w:pPr>
      <w:r>
        <w:rPr>
          <w:rFonts w:hint="eastAsia" w:asciiTheme="minorEastAsia" w:hAnsiTheme="minorEastAsia"/>
          <w:sz w:val="32"/>
          <w:szCs w:val="32"/>
        </w:rPr>
        <w:t>（三）为全区农业机械化生产、农机社会化服务、农机维修、农机抗灾救灾、农机安全生产监管等相关工作提供技术支持、服务保障和相关公益服务。承担农业机械从业人员教育培训和职业技能开发工作。</w:t>
      </w:r>
    </w:p>
    <w:p>
      <w:pPr>
        <w:ind w:firstLine="640" w:firstLineChars="200"/>
        <w:jc w:val="left"/>
        <w:rPr>
          <w:rFonts w:asciiTheme="minorEastAsia" w:hAnsiTheme="minorEastAsia"/>
          <w:sz w:val="32"/>
          <w:szCs w:val="32"/>
        </w:rPr>
      </w:pPr>
      <w:r>
        <w:rPr>
          <w:rFonts w:hint="eastAsia" w:asciiTheme="minorEastAsia" w:hAnsiTheme="minorEastAsia"/>
          <w:sz w:val="32"/>
          <w:szCs w:val="32"/>
        </w:rPr>
        <w:t>（四）承担农业机械补贴政策实施相关事务性工作。</w:t>
      </w:r>
    </w:p>
    <w:p>
      <w:pPr>
        <w:ind w:firstLine="640" w:firstLineChars="200"/>
        <w:jc w:val="left"/>
        <w:rPr>
          <w:rFonts w:asciiTheme="minorEastAsia" w:hAnsiTheme="minorEastAsia"/>
          <w:sz w:val="32"/>
          <w:szCs w:val="32"/>
        </w:rPr>
      </w:pPr>
      <w:r>
        <w:rPr>
          <w:rFonts w:hint="eastAsia" w:asciiTheme="minorEastAsia" w:hAnsiTheme="minorEastAsia"/>
          <w:sz w:val="32"/>
          <w:szCs w:val="32"/>
        </w:rPr>
        <w:t>（五）承担农业机械化信息网络建设运行、农业机械化生产信息统计工作。</w:t>
      </w:r>
    </w:p>
    <w:p>
      <w:pPr>
        <w:ind w:firstLine="640" w:firstLineChars="200"/>
        <w:jc w:val="left"/>
        <w:rPr>
          <w:rFonts w:asciiTheme="minorEastAsia" w:hAnsiTheme="minorEastAsia"/>
          <w:sz w:val="32"/>
          <w:szCs w:val="32"/>
        </w:rPr>
      </w:pPr>
      <w:r>
        <w:rPr>
          <w:rFonts w:hint="eastAsia" w:asciiTheme="minorEastAsia" w:hAnsiTheme="minorEastAsia"/>
          <w:sz w:val="32"/>
          <w:szCs w:val="32"/>
        </w:rPr>
        <w:t>（六）承担农业机械化新机具、新技术的引进和示范推广等相关技术性、事务性工作。</w:t>
      </w:r>
    </w:p>
    <w:p>
      <w:pPr>
        <w:ind w:firstLine="640" w:firstLineChars="200"/>
        <w:jc w:val="left"/>
        <w:rPr>
          <w:rFonts w:asciiTheme="minorEastAsia" w:hAnsiTheme="minorEastAsia"/>
          <w:sz w:val="32"/>
          <w:szCs w:val="32"/>
        </w:rPr>
      </w:pPr>
      <w:r>
        <w:rPr>
          <w:rFonts w:hint="eastAsia" w:asciiTheme="minorEastAsia" w:hAnsiTheme="minorEastAsia"/>
          <w:sz w:val="32"/>
          <w:szCs w:val="32"/>
        </w:rPr>
        <w:t>（七）对乡镇和涉农街道农业综合服务中心进行业务和技术指导。</w:t>
      </w:r>
    </w:p>
    <w:p>
      <w:pPr>
        <w:ind w:firstLine="640" w:firstLineChars="200"/>
        <w:jc w:val="left"/>
        <w:rPr>
          <w:rFonts w:ascii="仿宋_GB2312" w:eastAsia="仿宋_GB2312" w:hAnsiTheme="minorEastAsia"/>
          <w:sz w:val="28"/>
          <w:szCs w:val="32"/>
        </w:rPr>
      </w:pPr>
      <w:r>
        <w:rPr>
          <w:rFonts w:hint="eastAsia" w:asciiTheme="minorEastAsia" w:hAnsiTheme="minorEastAsia"/>
          <w:sz w:val="32"/>
          <w:szCs w:val="32"/>
        </w:rPr>
        <w:t>（八）完成区委、区政府及区农业农村局交办的其他任务。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（一）内设机构设置。区农机事务中心内设机构包括：</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（1）综合部。负责中心的日常运转、党建、人事、财务、退休人员服务等工作；负责农业机械从业人员教育培训和职业技能开发工作；负责管理各项资金。</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2）生产服务部。负责为农业机械化生产、农机社会化服务、农机维修、农机跨区作业和农机抗灾救灾等工作提供技术支持和服务保障；负责农业机械化生产信息统计工作；负责农业机械新机具、新技术的引进和示范推广等相关技术性、事务性工作；负责主要农作物全程机械化、农业机械化技术试验示范推广有关项目的组织实施工作。</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（3）产业发展部。负责农机购置补贴、作业补贴、更新补贴等政策实施相关事务性工作；负责农业机械装备产业高质量发展相关服务保障工作；负责农业机械产业化发展项目的组织实施工作。</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4）安全监理部。负责农业机械安全生产监管相关技术性、事务性工作；负责农机事故统计分析工作，协助重特大农机事故调查处理，协助开展农机事故应急处置工作；负责农业机械安全监理有关项目的组织实施工作。（二）决算单位构成。区农机事务中心</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年部门决算汇总公开单位构成包括：区农机事务中心本级。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2019 年度收入314.28万元，与2018年相比，减少69.82万元，减少18.2%，主要是因为厉行节约。</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年度支出313.94万元，与2018年相比，减少70.16万元，减少18.27%，主要是因为厉行节约。</w:t>
      </w:r>
    </w:p>
    <w:p>
      <w:pPr>
        <w:pStyle w:val="10"/>
        <w:ind w:firstLine="640" w:firstLineChars="20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本年收入合计314.28万元，其中：财政拨款收入314.28万元，占100%；上级补助收入0万元，占0%；事业收入0万元，占0%；经营收入0万元，占0%；附属单位上缴收入0万元，占0%；其他收入0万元，占0%。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本年支出合计313.94万元，其中：基本支出313.94万元，占100%；项目支出0万元，占0%；上缴上级支出0万元，占0%；经营支出0万元，占0%；对附属单位补助支出0万元，占0%。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2019 年度财政拨款收入314.28万元，与2018年相比，减少69.82万元，减少18.2%，主要是因为厉行节约。</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年度财政拨款支出313.94万元，与2018年相比，减少70.16万元，减少18.27%，主要是因为厉行节约。</w:t>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2019年度财政拨款支出313.94万元，占本年支出合计的100%，与2018年相比，财政拨款支出减少70.16万元，减少18.3%，主要是因为厉行节约。</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2019年度财政拨款支出313.94万元，主要用于以下方面：社会保障和就业208（类）支出22.23万元，占7.1%；农林水213（类）支出278.40万元，占88.7%;住房保障支出221（类）支出13.31万元，占4.2%。</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2019年度财政拨款支出年初预算数为313.94万元，支出决算数为313.94万元，完成年初预算的100%，其中：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1、社会保障和就业支出：事业单位离退休208（类）05（款）02（项）。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年初预算为17.43万元，支出决算为17.43万元，完成年初预算的100%，决算数等于年初预算数的主要原因是按预算执行，并根据实际进行预算调整。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2、社会保障和就业支出：死亡抚恤208（类）08（款）01（项）。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年初预算为4.8万元，支出决算为4.8万元，完成年初预算的100%，决算数等于年初预算数的主要原因是按预算执行，并根据实际进行预算调整。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3、农林水支出：行政运行213（类）01（款）01（项）。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年初预算为189.83万元，支出决算为187.83万元，完成年初预算的100%，决算数等于年初预算数的主要原因是按预算执行，并根据实际进行预算调整。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4、农林水支出：机关服务213（类）01（款）03（项）。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年初预算为14.47万元，支出决算为14.47万元，完成年初预算的100%，决算数等于年初预算数的主要原因是按预算执行，并根据实际进行预算调整。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5、农林水支出：事业运行213（类）01（款）04（项）。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年初预算为16.1万元，支出决算为16.1万元，完成年初预算的100%，决算数等于年初预算数的主要原因是按预算执行，并根据实际进行预算调整。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6、农林水支出：科技转化与推广服务213（类）01（款）06（项）。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年初预算为13万元，支出决算为13万元，完成年初预算的100%，决算数等于年初预算数的主要原因是按预算执行，并根据实际进行预算调整。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7、农林水支出：执法监管213（类）01（款）10（项）。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年初预算为39万元，支出决算为39万元，完成年初预算的100%，决算数等于年初预算数的主要原因是按预算执行，并根据实际进行预算调整。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8、农林水支出：其他农业支出213（类）01（款）99（项）。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年初预算为6万元，支出决算为6万元，完成年初预算的100%，决算数等于年初预算数的主要原因是按预算执行，并根据实际进行预算调整。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9、住房保障支出：其他农业支出221（类）02（款）01（项）。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年初预算为13.31万元，支出决算为13.31万元，完成年初预算的100%，决算数等于年初预算数的主要原因是按预算执行，并根据实际进行预算调整。</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2019年度财政拨款基本支出313.94万元，其中：人员经费271.5</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占基本支出的86.5%,主要包括基本工资、津贴补贴、奖金、其他社会保障缴费、住房公积金、其他工资福利支出、抚恤金、生活补助、奖励金、其他对个人和家庭的补助等；公用经费42.43万元，占基本支出的13.5%，主要包括办公费、印刷费、水费、电费、邮电费、差旅费、培训费、公务接待费、工会经费、公务车运行维护费、其他交通费、其他商品和服务支出、办公设备购置等。</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“三公”经费财政拨款支出预算为14万元，支出决算为10.81万元，完成预算的77.2%，其中：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决算数等于年初预算数的主要原因是未发生因公出国（境）开支，与上年相比减少0万元，减少0%,减少的主要原因是未发生因公出国（境）开支。</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公务接待费支出预算为2万元，支出决算为0.04万元，完成预算的2%，决算数小于年初预算数的主要原因是厉行节约，与上年相比减少0.26万元，减少86.7%,减少的主要原因是厉行节约。</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12万元，支出决算为10.77万元，完成预算的89.8%，决算数小于年初预算数的主要原因是厉行节约，与上年相比增加2.72万元，增长33.8%,增长的主要原因是工作量增加，用车次数增多。</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2019年度“三公”经费财政拨款支出决算中，公务接待费支出决算0.04万元，占0.4%,因公出国（境）费支出决算0万元，占0%,公务用车购置费及运行维护费支出决算10.77万元，占99.6%。其中：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2、公务接待费支出决算为0.04万元，全年共接待来访团组1个、来宾12人次，主要是迎检交流发生的接待支出。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3、公务用车购置费及运行维护费支出决算为10.77万元，其中：公务用车购置费0万元，区农机事务中心（单位本级或某二级机构）更新公务用车0辆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公务用车运行维护费10.77万元，主要是公务车维修及加油支出，截止2019年12月31日，我单位开支财政拨款的公务用车保有量为2辆。</w:t>
      </w:r>
    </w:p>
    <w:p>
      <w:pPr>
        <w:pStyle w:val="1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2019年度政府性基金预算财政拨款收入0万元；年初结转和结余0万元；支出0万元，其中基本支出0万元，项目支出0万元；年末结转和结余0万元。本单位无政府性基金收支。</w:t>
      </w:r>
    </w:p>
    <w:p>
      <w:pPr>
        <w:pStyle w:val="10"/>
        <w:rPr>
          <w:rFonts w:hAnsi="黑体"/>
          <w:b/>
          <w:sz w:val="32"/>
          <w:szCs w:val="32"/>
        </w:rPr>
      </w:pPr>
      <w:r>
        <w:rPr>
          <w:rFonts w:hint="eastAsia" w:hAnsi="黑体"/>
          <w:b/>
          <w:sz w:val="32"/>
          <w:szCs w:val="32"/>
        </w:rPr>
        <w:t>九、关于2019年度预算绩效情况说明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本部门预算绩效管理开展情况、绩效目标和绩效评价报告等，按照财政绩效部门要求已公开。</w:t>
      </w:r>
    </w:p>
    <w:p>
      <w:pPr>
        <w:pStyle w:val="10"/>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asciiTheme="minorEastAsia" w:hAnsiTheme="minorEastAsia"/>
          <w:sz w:val="32"/>
          <w:szCs w:val="32"/>
        </w:rPr>
      </w:pPr>
      <w:r>
        <w:rPr>
          <w:rFonts w:hint="eastAsia" w:cs="黑体" w:asciiTheme="minorEastAsia" w:hAnsiTheme="minorEastAsia"/>
          <w:color w:val="000000"/>
          <w:kern w:val="0"/>
          <w:sz w:val="32"/>
          <w:szCs w:val="32"/>
        </w:rPr>
        <w:t>本部门2019 年度机关运行经费支出41.74</w:t>
      </w:r>
      <w:bookmarkStart w:id="0" w:name="_GoBack"/>
      <w:bookmarkEnd w:id="0"/>
      <w:r>
        <w:rPr>
          <w:rFonts w:hint="eastAsia" w:cs="黑体" w:asciiTheme="minorEastAsia" w:hAnsiTheme="minorEastAsia"/>
          <w:color w:val="000000"/>
          <w:kern w:val="0"/>
          <w:sz w:val="32"/>
          <w:szCs w:val="32"/>
        </w:rPr>
        <w:t>万元，比年初预算数增加0万元，增长0%。主要原因是：</w:t>
      </w:r>
      <w:r>
        <w:rPr>
          <w:rFonts w:hint="eastAsia" w:asciiTheme="minorEastAsia" w:hAnsiTheme="minorEastAsia"/>
          <w:sz w:val="32"/>
          <w:szCs w:val="32"/>
        </w:rPr>
        <w:t>按预算执行，并根据实际进行预算调整。</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2019年本部门开支会议费0万元，用于召开0会议，人数0人，内容为无；开支培训费0.1万元，用于参加上级组织培训支出，人数2人，内容为参加上级部门组织专项业务培训；未举办节庆、晚会、论坛、赛事活动。</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5辆，其中，领导干部用车0辆、机要通信用车0辆、应急保障用车0辆、执法执勤用车0辆、特种专业技术用车0辆、其他用车5辆，其他用车主要是农机用车；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rPr>
          <w:rFonts w:ascii="仿宋" w:hAnsi="仿宋" w:eastAsia="仿宋" w:cs="仿宋"/>
          <w:sz w:val="32"/>
          <w:szCs w:val="32"/>
        </w:rPr>
      </w:pPr>
      <w:r>
        <w:rPr>
          <w:rFonts w:hint="eastAsia" w:ascii="仿宋" w:hAnsi="仿宋" w:eastAsia="仿宋" w:cs="仿宋"/>
          <w:sz w:val="32"/>
          <w:szCs w:val="32"/>
        </w:rPr>
        <w:t>区农机事务中心贯彻落实党中央和省委、 市委、关于农业农村和农业机械化工作的方针政策和决策部署，全面落实区委关于农业农村和农业机械化工作的部署要求，在履行职责过程中坚持和加强党对农业机械化工作的集中统一领导。主要职责是：</w:t>
      </w:r>
    </w:p>
    <w:p>
      <w:pPr>
        <w:pStyle w:val="11"/>
        <w:ind w:firstLine="640"/>
        <w:rPr>
          <w:rFonts w:ascii="仿宋" w:hAnsi="仿宋" w:eastAsia="仿宋" w:cs="仿宋"/>
          <w:sz w:val="32"/>
          <w:szCs w:val="32"/>
        </w:rPr>
      </w:pPr>
      <w:r>
        <w:rPr>
          <w:rFonts w:hint="eastAsia" w:ascii="仿宋" w:hAnsi="仿宋" w:eastAsia="仿宋" w:cs="仿宋"/>
          <w:sz w:val="32"/>
          <w:szCs w:val="32"/>
        </w:rPr>
        <w:t>（一）为全区农业农机械化发展提供技术性支撑和公益性、事业性服务。</w:t>
      </w:r>
    </w:p>
    <w:p>
      <w:pPr>
        <w:pStyle w:val="11"/>
        <w:ind w:firstLine="640"/>
        <w:rPr>
          <w:rFonts w:ascii="仿宋" w:hAnsi="仿宋" w:eastAsia="仿宋" w:cs="仿宋"/>
          <w:sz w:val="32"/>
          <w:szCs w:val="32"/>
        </w:rPr>
      </w:pPr>
      <w:r>
        <w:rPr>
          <w:rFonts w:hint="eastAsia" w:ascii="仿宋" w:hAnsi="仿宋" w:eastAsia="仿宋" w:cs="仿宋"/>
          <w:sz w:val="32"/>
          <w:szCs w:val="32"/>
        </w:rPr>
        <w:t>（二）承担全区农业机械化事业发展规划和有关标准、技术规范的研究工作，调查研究农业机械社会化服务和产业化发展的经济、技术问题，开展相关评估论证，提出对策建议。</w:t>
      </w:r>
    </w:p>
    <w:p>
      <w:pPr>
        <w:pStyle w:val="11"/>
        <w:ind w:firstLine="640"/>
        <w:rPr>
          <w:rFonts w:ascii="仿宋" w:hAnsi="仿宋" w:eastAsia="仿宋" w:cs="仿宋"/>
          <w:sz w:val="32"/>
          <w:szCs w:val="32"/>
        </w:rPr>
      </w:pPr>
      <w:r>
        <w:rPr>
          <w:rFonts w:hint="eastAsia" w:ascii="仿宋" w:hAnsi="仿宋" w:eastAsia="仿宋" w:cs="仿宋"/>
          <w:sz w:val="32"/>
          <w:szCs w:val="32"/>
        </w:rPr>
        <w:t>（三）为全区农业机械化生产、农机社会化服务、农机维修、农机抗灾救灾、农机安全生产监管等相关工作提供技术支持、服务保障和相关公益服务。承担农业机械从业人员教育培训和职业技能开发工作。</w:t>
      </w:r>
    </w:p>
    <w:p>
      <w:pPr>
        <w:pStyle w:val="11"/>
        <w:ind w:firstLine="640"/>
        <w:rPr>
          <w:rFonts w:ascii="仿宋" w:hAnsi="仿宋" w:eastAsia="仿宋" w:cs="仿宋"/>
          <w:sz w:val="32"/>
          <w:szCs w:val="32"/>
        </w:rPr>
      </w:pPr>
      <w:r>
        <w:rPr>
          <w:rFonts w:hint="eastAsia" w:ascii="仿宋" w:hAnsi="仿宋" w:eastAsia="仿宋" w:cs="仿宋"/>
          <w:sz w:val="32"/>
          <w:szCs w:val="32"/>
        </w:rPr>
        <w:t>（四）承担农业机械补贴政策实施相关事务性工作。</w:t>
      </w:r>
    </w:p>
    <w:p>
      <w:pPr>
        <w:pStyle w:val="11"/>
        <w:ind w:firstLine="640"/>
        <w:rPr>
          <w:rFonts w:ascii="仿宋" w:hAnsi="仿宋" w:eastAsia="仿宋" w:cs="仿宋"/>
          <w:sz w:val="32"/>
          <w:szCs w:val="32"/>
        </w:rPr>
      </w:pPr>
      <w:r>
        <w:rPr>
          <w:rFonts w:hint="eastAsia" w:ascii="仿宋" w:hAnsi="仿宋" w:eastAsia="仿宋" w:cs="仿宋"/>
          <w:sz w:val="32"/>
          <w:szCs w:val="32"/>
        </w:rPr>
        <w:t>（五）承担农业机械化信息网络建设运行、农业机械化生产信息统计工作。</w:t>
      </w:r>
    </w:p>
    <w:p>
      <w:pPr>
        <w:pStyle w:val="11"/>
        <w:ind w:firstLine="640"/>
        <w:rPr>
          <w:rFonts w:ascii="仿宋" w:hAnsi="仿宋" w:eastAsia="仿宋" w:cs="仿宋"/>
          <w:sz w:val="32"/>
          <w:szCs w:val="32"/>
        </w:rPr>
      </w:pPr>
      <w:r>
        <w:rPr>
          <w:rFonts w:hint="eastAsia" w:ascii="仿宋" w:hAnsi="仿宋" w:eastAsia="仿宋" w:cs="仿宋"/>
          <w:sz w:val="32"/>
          <w:szCs w:val="32"/>
        </w:rPr>
        <w:t>（六）承担农业机械化新机具、新技术的引进和示范推广等相关技术性、事务性工作。</w:t>
      </w:r>
    </w:p>
    <w:p>
      <w:pPr>
        <w:pStyle w:val="11"/>
        <w:ind w:firstLine="640"/>
        <w:rPr>
          <w:rFonts w:ascii="仿宋" w:hAnsi="仿宋" w:eastAsia="仿宋" w:cs="仿宋"/>
          <w:sz w:val="32"/>
          <w:szCs w:val="32"/>
        </w:rPr>
      </w:pPr>
      <w:r>
        <w:rPr>
          <w:rFonts w:hint="eastAsia" w:ascii="仿宋" w:hAnsi="仿宋" w:eastAsia="仿宋" w:cs="仿宋"/>
          <w:sz w:val="32"/>
          <w:szCs w:val="32"/>
        </w:rPr>
        <w:t>（七）对乡镇和涉农街道农业综合服务中心进行业务和技术指导。</w:t>
      </w:r>
    </w:p>
    <w:p>
      <w:pPr>
        <w:pStyle w:val="11"/>
        <w:ind w:firstLine="640"/>
        <w:rPr>
          <w:rFonts w:ascii="Times New Roman" w:hAnsi="Times New Roman" w:eastAsia="黑体"/>
          <w:sz w:val="32"/>
          <w:szCs w:val="32"/>
        </w:rPr>
      </w:pPr>
      <w:r>
        <w:rPr>
          <w:rFonts w:hint="eastAsia" w:ascii="仿宋" w:hAnsi="仿宋" w:eastAsia="仿宋" w:cs="仿宋"/>
          <w:sz w:val="32"/>
          <w:szCs w:val="32"/>
        </w:rPr>
        <w:t>（八）完成区委、区政府及区农业农村局交办的其他任务。</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1"/>
        <w:widowControl/>
        <w:spacing w:line="600" w:lineRule="exact"/>
        <w:ind w:firstLine="640"/>
        <w:rPr>
          <w:rFonts w:ascii="Times New Roman" w:hAnsi="Times New Roman" w:eastAsia="黑体"/>
          <w:sz w:val="32"/>
          <w:szCs w:val="32"/>
        </w:rPr>
      </w:pPr>
      <w:r>
        <w:rPr>
          <w:rFonts w:hint="eastAsia" w:asciiTheme="minorEastAsia" w:hAnsiTheme="minorEastAsia" w:cstheme="minorEastAsia"/>
          <w:sz w:val="32"/>
          <w:szCs w:val="32"/>
        </w:rPr>
        <w:t>2019年度部门一般公共预算财政拨款决算支出313.94万元，其中：工资福利支出230.46万元，商品和服务支出41.74万元，对个人和家庭补助41.04万元，资本性支出0.69万元。</w:t>
      </w:r>
    </w:p>
    <w:p>
      <w:pPr>
        <w:widowControl/>
        <w:spacing w:line="600" w:lineRule="exact"/>
        <w:ind w:left="640"/>
        <w:jc w:val="left"/>
        <w:rPr>
          <w:rFonts w:ascii="Times New Roman" w:hAnsi="Times New Roman" w:eastAsia="黑体"/>
          <w:sz w:val="32"/>
          <w:szCs w:val="32"/>
        </w:rPr>
      </w:pPr>
      <w:r>
        <w:rPr>
          <w:rFonts w:hint="eastAsia" w:eastAsia="黑体"/>
          <w:sz w:val="32"/>
          <w:szCs w:val="32"/>
        </w:rPr>
        <w:t>三、</w:t>
      </w:r>
      <w:r>
        <w:rPr>
          <w:rFonts w:ascii="Times New Roman" w:hAnsi="Times New Roman" w:eastAsia="黑体"/>
          <w:sz w:val="32"/>
          <w:szCs w:val="32"/>
        </w:rPr>
        <w:t>政府性基金预算支出情况</w:t>
      </w:r>
    </w:p>
    <w:p>
      <w:pPr>
        <w:widowControl/>
        <w:spacing w:line="600" w:lineRule="exact"/>
        <w:ind w:firstLine="640" w:firstLineChars="200"/>
        <w:jc w:val="left"/>
        <w:rPr>
          <w:rFonts w:ascii="Times New Roman" w:hAnsi="Times New Roman" w:eastAsia="黑体"/>
          <w:sz w:val="32"/>
          <w:szCs w:val="32"/>
        </w:rPr>
      </w:pPr>
      <w:r>
        <w:rPr>
          <w:rFonts w:hint="eastAsia" w:asciiTheme="minorEastAsia" w:hAnsiTheme="minorEastAsia"/>
          <w:sz w:val="32"/>
          <w:szCs w:val="32"/>
        </w:rPr>
        <w:t>本单位无政府性基金收支</w:t>
      </w:r>
    </w:p>
    <w:p>
      <w:pPr>
        <w:pStyle w:val="11"/>
        <w:widowControl/>
        <w:spacing w:line="600" w:lineRule="exact"/>
        <w:ind w:left="420" w:leftChars="200" w:firstLine="320" w:firstLineChars="10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11"/>
        <w:widowControl/>
        <w:spacing w:line="600" w:lineRule="exact"/>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本单位无国有资本经营预算支出。</w:t>
      </w:r>
    </w:p>
    <w:p>
      <w:pPr>
        <w:pStyle w:val="11"/>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1"/>
        <w:widowControl/>
        <w:spacing w:line="600" w:lineRule="exact"/>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本单位无社会保险基金预算支出。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pStyle w:val="5"/>
        <w:widowControl/>
        <w:spacing w:beforeAutospacing="0" w:afterAutospacing="0" w:line="645" w:lineRule="atLeast"/>
        <w:ind w:firstLine="645"/>
        <w:rPr>
          <w:rFonts w:asciiTheme="minorEastAsia" w:hAnsiTheme="minorEastAsia" w:cstheme="minorEastAsia"/>
          <w:kern w:val="2"/>
          <w:sz w:val="32"/>
          <w:szCs w:val="32"/>
        </w:rPr>
      </w:pPr>
      <w:r>
        <w:rPr>
          <w:rFonts w:hint="eastAsia" w:asciiTheme="minorEastAsia" w:hAnsiTheme="minorEastAsia" w:cstheme="minorEastAsia"/>
          <w:kern w:val="2"/>
          <w:sz w:val="32"/>
          <w:szCs w:val="32"/>
        </w:rPr>
        <w:t>1、财务目标顺利完成。通过提高预算编制质量，提升预算执行和控制力度，加强支出管理、绩效评价考核等方法，提高资金效率，保障年度财务目标的顺利完成。</w:t>
      </w:r>
    </w:p>
    <w:p>
      <w:pPr>
        <w:pStyle w:val="5"/>
        <w:widowControl/>
        <w:spacing w:beforeAutospacing="0" w:afterAutospacing="0" w:line="645" w:lineRule="atLeast"/>
        <w:ind w:firstLine="645"/>
        <w:jc w:val="both"/>
        <w:rPr>
          <w:rFonts w:asciiTheme="minorEastAsia" w:hAnsiTheme="minorEastAsia" w:cstheme="minorEastAsia"/>
          <w:kern w:val="2"/>
          <w:sz w:val="32"/>
          <w:szCs w:val="32"/>
        </w:rPr>
      </w:pPr>
      <w:r>
        <w:rPr>
          <w:rFonts w:hint="eastAsia" w:asciiTheme="minorEastAsia" w:hAnsiTheme="minorEastAsia" w:cstheme="minorEastAsia"/>
          <w:kern w:val="2"/>
          <w:sz w:val="32"/>
          <w:szCs w:val="32"/>
        </w:rPr>
        <w:t>2、资产管理制度健全。建立了资产管理制度，加强对固定资产购置、验收结算、登记入账、定期清理的管理，保护固定资产的安全完整。</w:t>
      </w:r>
    </w:p>
    <w:p>
      <w:pPr>
        <w:pStyle w:val="5"/>
        <w:widowControl/>
        <w:spacing w:beforeAutospacing="0" w:afterAutospacing="0" w:line="645" w:lineRule="atLeast"/>
        <w:ind w:firstLine="645"/>
        <w:jc w:val="both"/>
        <w:rPr>
          <w:rFonts w:asciiTheme="minorEastAsia" w:hAnsiTheme="minorEastAsia" w:cstheme="minorEastAsia"/>
          <w:kern w:val="2"/>
          <w:sz w:val="32"/>
          <w:szCs w:val="32"/>
        </w:rPr>
      </w:pPr>
      <w:r>
        <w:rPr>
          <w:rFonts w:hint="eastAsia" w:asciiTheme="minorEastAsia" w:hAnsiTheme="minorEastAsia" w:cstheme="minorEastAsia"/>
          <w:kern w:val="2"/>
          <w:sz w:val="32"/>
          <w:szCs w:val="32"/>
        </w:rPr>
        <w:t>根据部门整体支出绩效评价指标体系，2019年度评价得分为81分。</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基本支出没有得到有限的保障。基本支出经费保障水平偏低，预算执行基本围绕保人员经费、保正常运转进行’公用经费缺口较大。从决算情况看，基本支出比重比较大，基本保障面临巨大的压力。</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pStyle w:val="5"/>
        <w:widowControl/>
        <w:spacing w:beforeAutospacing="0" w:afterAutospacing="0" w:line="645" w:lineRule="atLeast"/>
        <w:ind w:firstLine="640" w:firstLineChars="200"/>
        <w:rPr>
          <w:rFonts w:eastAsia="黑体"/>
          <w:sz w:val="32"/>
          <w:szCs w:val="32"/>
        </w:rPr>
      </w:pPr>
      <w:r>
        <w:rPr>
          <w:rFonts w:hint="eastAsia" w:asciiTheme="minorEastAsia" w:hAnsiTheme="minorEastAsia" w:cstheme="minorEastAsia"/>
          <w:kern w:val="2"/>
          <w:sz w:val="32"/>
          <w:szCs w:val="32"/>
        </w:rPr>
        <w:t>强化绩效管理意识，进一步强化绩效理念，将绩效管理理念贯穿于资金分配到资金使用全过程，加大资金整合力度，把有限的资金用在刀刃上，提高财政资金使用效率。</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hint="eastAsia" w:eastAsia="仿宋_GB2312"/>
          <w:sz w:val="32"/>
          <w:szCs w:val="32"/>
        </w:rPr>
        <w:t>无</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31F8632"/>
    <w:multiLevelType w:val="singleLevel"/>
    <w:tmpl w:val="731F8632"/>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763BD"/>
    <w:rsid w:val="008A3E8D"/>
    <w:rsid w:val="009237C4"/>
    <w:rsid w:val="00950252"/>
    <w:rsid w:val="00967F5D"/>
    <w:rsid w:val="009A0F95"/>
    <w:rsid w:val="009B3ADF"/>
    <w:rsid w:val="009C3B52"/>
    <w:rsid w:val="009C4DE2"/>
    <w:rsid w:val="00A42218"/>
    <w:rsid w:val="00A70249"/>
    <w:rsid w:val="00B33BEA"/>
    <w:rsid w:val="00B57C9F"/>
    <w:rsid w:val="00B845B3"/>
    <w:rsid w:val="00B85D8B"/>
    <w:rsid w:val="00BC7861"/>
    <w:rsid w:val="00BE3674"/>
    <w:rsid w:val="00C3049A"/>
    <w:rsid w:val="00C31B1E"/>
    <w:rsid w:val="00C77645"/>
    <w:rsid w:val="00CE04C3"/>
    <w:rsid w:val="00CE76A0"/>
    <w:rsid w:val="00D148C6"/>
    <w:rsid w:val="00DD06FF"/>
    <w:rsid w:val="00DD5FE9"/>
    <w:rsid w:val="00E00C7A"/>
    <w:rsid w:val="00E55B68"/>
    <w:rsid w:val="00F74360"/>
    <w:rsid w:val="00FB462F"/>
    <w:rsid w:val="00FE16FA"/>
    <w:rsid w:val="00FE328A"/>
    <w:rsid w:val="00FF3B97"/>
    <w:rsid w:val="4F5C537D"/>
    <w:rsid w:val="54683321"/>
    <w:rsid w:val="64BE4E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paragraph" w:customStyle="1" w:styleId="10">
    <w:name w:val="Defaul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943</Words>
  <Characters>5377</Characters>
  <Lines>44</Lines>
  <Paragraphs>12</Paragraphs>
  <TotalTime>13</TotalTime>
  <ScaleCrop>false</ScaleCrop>
  <LinksUpToDate>false</LinksUpToDate>
  <CharactersWithSpaces>6308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2020-10-09T12:11:00Z</cp:lastPrinted>
  <dcterms:modified xsi:type="dcterms:W3CDTF">2021-06-06T07:17:11Z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82189147F58A4ED2A4D0AFFA0D6D9E00</vt:lpwstr>
  </property>
</Properties>
</file>