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jc w:val="center"/>
        <w:rPr>
          <w:sz w:val="56"/>
          <w:szCs w:val="56"/>
        </w:rPr>
      </w:pPr>
    </w:p>
    <w:p>
      <w:pPr>
        <w:pStyle w:val="9"/>
        <w:jc w:val="center"/>
        <w:rPr>
          <w:sz w:val="56"/>
          <w:szCs w:val="56"/>
        </w:rPr>
      </w:pPr>
    </w:p>
    <w:p>
      <w:pPr>
        <w:pStyle w:val="9"/>
        <w:jc w:val="center"/>
        <w:rPr>
          <w:sz w:val="84"/>
          <w:szCs w:val="84"/>
        </w:rPr>
      </w:pPr>
    </w:p>
    <w:p>
      <w:pPr>
        <w:pStyle w:val="9"/>
        <w:jc w:val="center"/>
        <w:rPr>
          <w:sz w:val="84"/>
          <w:szCs w:val="84"/>
        </w:rPr>
      </w:pPr>
    </w:p>
    <w:p>
      <w:pPr>
        <w:pStyle w:val="9"/>
        <w:jc w:val="center"/>
        <w:rPr>
          <w:sz w:val="84"/>
          <w:szCs w:val="84"/>
        </w:rPr>
      </w:pPr>
      <w:r>
        <w:rPr>
          <w:rFonts w:hint="eastAsia"/>
          <w:sz w:val="84"/>
          <w:szCs w:val="84"/>
        </w:rPr>
        <w:t>2019年度</w:t>
      </w:r>
    </w:p>
    <w:p>
      <w:pPr>
        <w:pStyle w:val="9"/>
        <w:jc w:val="center"/>
        <w:rPr>
          <w:sz w:val="84"/>
          <w:szCs w:val="84"/>
        </w:rPr>
      </w:pPr>
      <w:r>
        <w:rPr>
          <w:rFonts w:hint="eastAsia"/>
          <w:sz w:val="84"/>
          <w:szCs w:val="84"/>
        </w:rPr>
        <w:t>鹤城区城市建设投资管理中心</w:t>
      </w:r>
    </w:p>
    <w:p>
      <w:pPr>
        <w:pStyle w:val="9"/>
        <w:jc w:val="center"/>
        <w:rPr>
          <w:sz w:val="56"/>
          <w:szCs w:val="56"/>
        </w:rPr>
      </w:pPr>
      <w:r>
        <w:rPr>
          <w:rFonts w:hint="eastAsia"/>
          <w:sz w:val="84"/>
          <w:szCs w:val="84"/>
        </w:rPr>
        <w:t>决算公开说明</w:t>
      </w:r>
    </w:p>
    <w:p>
      <w:pPr>
        <w:pStyle w:val="9"/>
        <w:jc w:val="center"/>
        <w:rPr>
          <w:sz w:val="56"/>
          <w:szCs w:val="56"/>
        </w:rPr>
      </w:pPr>
    </w:p>
    <w:p>
      <w:pPr>
        <w:pStyle w:val="9"/>
        <w:jc w:val="center"/>
        <w:rPr>
          <w:sz w:val="56"/>
          <w:szCs w:val="56"/>
        </w:rPr>
      </w:pPr>
    </w:p>
    <w:p>
      <w:pPr>
        <w:pStyle w:val="9"/>
        <w:spacing w:line="520" w:lineRule="exact"/>
        <w:jc w:val="center"/>
        <w:rPr>
          <w:sz w:val="56"/>
          <w:szCs w:val="56"/>
        </w:rPr>
      </w:pPr>
      <w:r>
        <w:rPr>
          <w:rFonts w:hint="eastAsia"/>
          <w:sz w:val="56"/>
          <w:szCs w:val="56"/>
        </w:rPr>
        <w:t>目录</w:t>
      </w:r>
    </w:p>
    <w:p>
      <w:pPr>
        <w:pStyle w:val="9"/>
        <w:spacing w:line="520" w:lineRule="exact"/>
        <w:rPr>
          <w:rFonts w:hint="eastAsia" w:ascii="仿宋_GB2312" w:hAnsi="仿宋_GB2312" w:cs="仿宋_GB2312"/>
          <w:b/>
          <w:sz w:val="28"/>
          <w:szCs w:val="28"/>
        </w:rPr>
      </w:pPr>
      <w:r>
        <w:rPr>
          <w:rFonts w:hint="eastAsia"/>
          <w:b/>
          <w:sz w:val="28"/>
          <w:szCs w:val="28"/>
        </w:rPr>
        <w:t>第一部分单位概况</w:t>
      </w:r>
    </w:p>
    <w:p>
      <w:pPr>
        <w:pStyle w:val="9"/>
        <w:spacing w:line="52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9"/>
        <w:spacing w:line="52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p>
    <w:p>
      <w:pPr>
        <w:pStyle w:val="9"/>
        <w:spacing w:line="520" w:lineRule="exact"/>
        <w:rPr>
          <w:rFonts w:hint="eastAsia" w:ascii="仿宋_GB2312" w:hAnsi="仿宋_GB2312" w:cs="仿宋_GB2312"/>
          <w:b/>
          <w:sz w:val="28"/>
          <w:szCs w:val="28"/>
        </w:rPr>
      </w:pPr>
      <w:r>
        <w:rPr>
          <w:rFonts w:hint="eastAsia" w:hAnsi="仿宋_GB2312"/>
          <w:b/>
          <w:sz w:val="28"/>
          <w:szCs w:val="28"/>
        </w:rPr>
        <w:t>第二部分</w:t>
      </w:r>
      <w:r>
        <w:rPr>
          <w:rFonts w:hAnsi="仿宋_GB2312"/>
          <w:b/>
          <w:sz w:val="28"/>
          <w:szCs w:val="28"/>
        </w:rPr>
        <w:t>2019</w:t>
      </w:r>
      <w:r>
        <w:rPr>
          <w:rFonts w:hint="eastAsia" w:hAnsi="仿宋_GB2312"/>
          <w:b/>
          <w:sz w:val="28"/>
          <w:szCs w:val="28"/>
        </w:rPr>
        <w:t>年度部门决算表</w:t>
      </w:r>
    </w:p>
    <w:p>
      <w:pPr>
        <w:pStyle w:val="9"/>
        <w:spacing w:line="52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9"/>
        <w:spacing w:line="52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9"/>
        <w:spacing w:line="52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9"/>
        <w:spacing w:line="52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9"/>
        <w:spacing w:line="52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9"/>
        <w:spacing w:line="52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六、一般公共预算财政拨款基本支出决算表</w:t>
      </w:r>
    </w:p>
    <w:p>
      <w:pPr>
        <w:pStyle w:val="9"/>
        <w:spacing w:line="52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9"/>
        <w:spacing w:line="52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9"/>
        <w:spacing w:line="520" w:lineRule="exact"/>
        <w:rPr>
          <w:rFonts w:hint="eastAsia" w:ascii="仿宋_GB2312" w:hAnsi="仿宋_GB2312" w:cs="仿宋_GB2312"/>
          <w:b/>
          <w:sz w:val="28"/>
          <w:szCs w:val="28"/>
        </w:rPr>
      </w:pPr>
      <w:r>
        <w:rPr>
          <w:rFonts w:hint="eastAsia" w:hAnsi="仿宋_GB2312"/>
          <w:b/>
          <w:sz w:val="28"/>
          <w:szCs w:val="28"/>
        </w:rPr>
        <w:t>第三部分</w:t>
      </w:r>
      <w:r>
        <w:rPr>
          <w:rFonts w:hAnsi="仿宋_GB2312"/>
          <w:b/>
          <w:sz w:val="28"/>
          <w:szCs w:val="28"/>
        </w:rPr>
        <w:t>2019</w:t>
      </w:r>
      <w:r>
        <w:rPr>
          <w:rFonts w:hint="eastAsia" w:hAnsi="仿宋_GB2312"/>
          <w:b/>
          <w:sz w:val="28"/>
          <w:szCs w:val="28"/>
        </w:rPr>
        <w:t>年度部门决算情况说明</w:t>
      </w:r>
    </w:p>
    <w:p>
      <w:pPr>
        <w:pStyle w:val="9"/>
        <w:spacing w:line="52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20" w:lineRule="exact"/>
        <w:ind w:firstLine="700" w:firstLineChars="250"/>
        <w:jc w:val="left"/>
        <w:rPr>
          <w:rFonts w:hint="eastAsia"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20" w:lineRule="exact"/>
        <w:ind w:firstLine="700" w:firstLineChars="250"/>
        <w:jc w:val="left"/>
        <w:rPr>
          <w:rFonts w:hint="eastAsia"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20" w:lineRule="exact"/>
        <w:ind w:firstLine="700" w:firstLineChars="250"/>
        <w:jc w:val="left"/>
        <w:rPr>
          <w:rFonts w:hint="eastAsia"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20" w:lineRule="exact"/>
        <w:ind w:firstLine="700" w:firstLineChars="250"/>
        <w:jc w:val="left"/>
        <w:rPr>
          <w:rFonts w:hint="eastAsia"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20" w:lineRule="exact"/>
        <w:ind w:firstLine="700" w:firstLineChars="250"/>
        <w:jc w:val="left"/>
        <w:rPr>
          <w:rFonts w:hint="eastAsia"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20" w:lineRule="exact"/>
        <w:ind w:firstLine="700" w:firstLineChars="250"/>
        <w:jc w:val="left"/>
        <w:rPr>
          <w:rFonts w:hint="eastAsia"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pPr>
        <w:autoSpaceDE w:val="0"/>
        <w:autoSpaceDN w:val="0"/>
        <w:adjustRightInd w:val="0"/>
        <w:spacing w:line="520" w:lineRule="exact"/>
        <w:ind w:firstLine="700" w:firstLineChars="250"/>
        <w:jc w:val="left"/>
        <w:rPr>
          <w:rFonts w:hint="eastAsia"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20" w:lineRule="exact"/>
        <w:ind w:firstLine="700" w:firstLineChars="250"/>
        <w:jc w:val="left"/>
        <w:rPr>
          <w:rFonts w:hint="eastAsia"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、预算绩效情况说明</w:t>
      </w:r>
    </w:p>
    <w:p>
      <w:pPr>
        <w:autoSpaceDE w:val="0"/>
        <w:autoSpaceDN w:val="0"/>
        <w:adjustRightInd w:val="0"/>
        <w:spacing w:line="520" w:lineRule="exact"/>
        <w:ind w:firstLine="700" w:firstLineChars="250"/>
        <w:jc w:val="left"/>
        <w:rPr>
          <w:rFonts w:hint="eastAsia" w:ascii="仿宋_GB2312" w:hAnsi="仿宋_GB2312" w:cs="仿宋_GB2312"/>
          <w:color w:val="000000"/>
          <w:kern w:val="0"/>
          <w:sz w:val="28"/>
          <w:szCs w:val="28"/>
        </w:rPr>
      </w:pPr>
      <w:r>
        <w:rPr>
          <w:rFonts w:hint="eastAsia" w:ascii="仿宋_GB2312" w:hAnsi="仿宋_GB2312" w:cs="仿宋_GB2312"/>
          <w:color w:val="000000"/>
          <w:kern w:val="0"/>
          <w:sz w:val="28"/>
          <w:szCs w:val="28"/>
        </w:rPr>
        <w:t>十</w:t>
      </w:r>
      <w:r>
        <w:rPr>
          <w:rFonts w:ascii="仿宋_GB2312" w:hAnsi="仿宋_GB2312" w:cs="仿宋_GB2312"/>
          <w:color w:val="000000"/>
          <w:kern w:val="0"/>
          <w:sz w:val="28"/>
          <w:szCs w:val="28"/>
        </w:rPr>
        <w:t>、其他重要事项情况说明</w:t>
      </w:r>
    </w:p>
    <w:p>
      <w:pPr>
        <w:autoSpaceDE w:val="0"/>
        <w:autoSpaceDN w:val="0"/>
        <w:adjustRightInd w:val="0"/>
        <w:spacing w:line="520" w:lineRule="exact"/>
        <w:jc w:val="left"/>
        <w:rPr>
          <w:rFonts w:ascii="黑体" w:hAnsi="黑体" w:eastAsia="黑体" w:cs="仿宋_GB2312"/>
          <w:b/>
          <w:color w:val="000000"/>
          <w:kern w:val="0"/>
          <w:sz w:val="28"/>
          <w:szCs w:val="28"/>
        </w:rPr>
      </w:pPr>
      <w:r>
        <w:rPr>
          <w:rFonts w:ascii="黑体" w:hAnsi="黑体" w:eastAsia="黑体" w:cs="黑体"/>
          <w:b/>
          <w:color w:val="000000"/>
          <w:kern w:val="0"/>
          <w:sz w:val="28"/>
          <w:szCs w:val="28"/>
        </w:rPr>
        <w:t>第四部分名词解释</w:t>
      </w:r>
    </w:p>
    <w:p>
      <w:pPr>
        <w:spacing w:line="520" w:lineRule="exact"/>
        <w:jc w:val="left"/>
        <w:rPr>
          <w:rFonts w:ascii="黑体" w:hAnsi="黑体" w:eastAsia="黑体" w:cs="仿宋_GB2312"/>
          <w:b/>
          <w:color w:val="000000"/>
          <w:kern w:val="0"/>
          <w:sz w:val="28"/>
          <w:szCs w:val="28"/>
        </w:rPr>
      </w:pPr>
      <w:r>
        <w:rPr>
          <w:rFonts w:ascii="黑体" w:hAnsi="黑体" w:eastAsia="黑体" w:cs="黑体"/>
          <w:b/>
          <w:color w:val="000000"/>
          <w:kern w:val="0"/>
          <w:sz w:val="28"/>
          <w:szCs w:val="28"/>
        </w:rPr>
        <w:t>第五部分附件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9"/>
        <w:jc w:val="center"/>
        <w:rPr>
          <w:sz w:val="84"/>
          <w:szCs w:val="84"/>
        </w:rPr>
      </w:pPr>
    </w:p>
    <w:p>
      <w:pPr>
        <w:pStyle w:val="9"/>
        <w:jc w:val="center"/>
        <w:rPr>
          <w:sz w:val="84"/>
          <w:szCs w:val="84"/>
        </w:rPr>
      </w:pPr>
    </w:p>
    <w:p>
      <w:pPr>
        <w:pStyle w:val="9"/>
        <w:jc w:val="center"/>
        <w:rPr>
          <w:sz w:val="84"/>
          <w:szCs w:val="84"/>
        </w:rPr>
      </w:pPr>
      <w:r>
        <w:rPr>
          <w:rFonts w:hint="eastAsia"/>
          <w:sz w:val="84"/>
          <w:szCs w:val="84"/>
        </w:rPr>
        <w:t>第一部分</w:t>
      </w:r>
    </w:p>
    <w:p>
      <w:pPr>
        <w:pStyle w:val="9"/>
        <w:jc w:val="center"/>
        <w:rPr>
          <w:sz w:val="84"/>
          <w:szCs w:val="84"/>
        </w:rPr>
      </w:pPr>
    </w:p>
    <w:p>
      <w:pPr>
        <w:pStyle w:val="9"/>
        <w:jc w:val="center"/>
        <w:rPr>
          <w:sz w:val="84"/>
          <w:szCs w:val="84"/>
        </w:rPr>
      </w:pPr>
      <w:r>
        <w:rPr>
          <w:rFonts w:hint="eastAsia"/>
          <w:sz w:val="84"/>
          <w:szCs w:val="84"/>
        </w:rPr>
        <w:t>鹤城区城市建设投资管理中心概况</w:t>
      </w:r>
    </w:p>
    <w:p>
      <w:pPr>
        <w:jc w:val="center"/>
        <w:rPr>
          <w:sz w:val="72"/>
          <w:szCs w:val="72"/>
        </w:rPr>
      </w:pPr>
    </w:p>
    <w:p>
      <w:pPr>
        <w:pStyle w:val="10"/>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numPr>
          <w:ilvl w:val="0"/>
          <w:numId w:val="2"/>
        </w:numPr>
        <w:ind w:firstLine="800" w:firstLineChars="250"/>
        <w:jc w:val="left"/>
        <w:rPr>
          <w:rFonts w:cs="仿宋" w:asciiTheme="minorEastAsia" w:hAnsiTheme="minorEastAsia"/>
          <w:sz w:val="30"/>
          <w:szCs w:val="30"/>
        </w:rPr>
      </w:pPr>
      <w:r>
        <w:rPr>
          <w:rFonts w:hint="eastAsia" w:ascii="Times New Roman" w:hAnsi="Times New Roman" w:eastAsia="仿宋_GB2312" w:cs="Times New Roman"/>
          <w:kern w:val="0"/>
          <w:sz w:val="32"/>
          <w:szCs w:val="32"/>
        </w:rPr>
        <w:t>承担着鹤城区基础设施和重大社会发展项目建设任务，开发经营政府配置给单位的土地资产。</w:t>
      </w:r>
    </w:p>
    <w:p>
      <w:pPr>
        <w:widowControl/>
        <w:spacing w:line="600" w:lineRule="exact"/>
        <w:ind w:firstLine="640" w:firstLineChars="200"/>
        <w:rPr>
          <w:rFonts w:ascii="Times New Roman" w:hAnsi="Times New Roman" w:eastAsia="仿宋_GB2312" w:cs="Times New Roman"/>
          <w:kern w:val="0"/>
          <w:sz w:val="32"/>
          <w:szCs w:val="32"/>
        </w:rPr>
      </w:pPr>
      <w:r>
        <w:rPr>
          <w:rFonts w:hint="eastAsia" w:cs="仿宋" w:asciiTheme="minorEastAsia" w:hAnsiTheme="minorEastAsia"/>
          <w:sz w:val="32"/>
          <w:szCs w:val="32"/>
        </w:rPr>
        <w:t>（二）主要工作职责：</w:t>
      </w:r>
      <w:r>
        <w:rPr>
          <w:rFonts w:hint="eastAsia" w:ascii="Times New Roman" w:hAnsi="Times New Roman" w:eastAsia="仿宋_GB2312" w:cs="Times New Roman"/>
          <w:kern w:val="0"/>
          <w:sz w:val="32"/>
          <w:szCs w:val="32"/>
        </w:rPr>
        <w:t>承担着鹤城区基础设施和重大社会发展项目建设任务，开发经营政府配置给单位的土地资产，是鹤城区城市基础设施建设的投融资平台。</w:t>
      </w:r>
    </w:p>
    <w:p>
      <w:pPr>
        <w:jc w:val="left"/>
        <w:rPr>
          <w:rFonts w:ascii="仿宋_GB2312" w:eastAsia="仿宋_GB2312" w:hAnsiTheme="minorEastAsia"/>
          <w:sz w:val="28"/>
          <w:szCs w:val="32"/>
        </w:rPr>
      </w:pP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spacing w:line="600" w:lineRule="exact"/>
        <w:rPr>
          <w:rFonts w:asciiTheme="minorEastAsia" w:hAnsiTheme="minorEastAsia"/>
          <w:bCs/>
          <w:kern w:val="0"/>
          <w:sz w:val="32"/>
          <w:szCs w:val="32"/>
        </w:rPr>
      </w:pPr>
      <w:r>
        <w:rPr>
          <w:rFonts w:hint="eastAsia" w:asciiTheme="minorEastAsia" w:hAnsiTheme="minorEastAsia"/>
          <w:bCs/>
          <w:kern w:val="0"/>
          <w:sz w:val="32"/>
          <w:szCs w:val="32"/>
        </w:rPr>
        <w:t>（一）内设机构设置。鹤城区城市建设投资管理中心内设机构包括：</w:t>
      </w:r>
      <w:r>
        <w:rPr>
          <w:rFonts w:hint="eastAsia" w:ascii="Times New Roman" w:hAnsi="Times New Roman" w:eastAsia="仿宋_GB2312" w:cs="Times New Roman"/>
          <w:bCs/>
          <w:kern w:val="0"/>
          <w:sz w:val="32"/>
          <w:szCs w:val="32"/>
        </w:rPr>
        <w:t>综合办公室、纪检监察室、人力资源部、财务部、融资部、资产经营部、工程技术部、工程造价部、工程管理部、征地拆迁部共10个职能股室。</w:t>
      </w:r>
    </w:p>
    <w:p>
      <w:pPr>
        <w:widowControl/>
        <w:spacing w:line="600" w:lineRule="exact"/>
        <w:rPr>
          <w:rFonts w:asciiTheme="minorEastAsia" w:hAnsiTheme="minorEastAsia"/>
          <w:bCs/>
          <w:kern w:val="0"/>
          <w:sz w:val="32"/>
          <w:szCs w:val="32"/>
        </w:rPr>
      </w:pPr>
      <w:r>
        <w:rPr>
          <w:rFonts w:hint="eastAsia" w:asciiTheme="minorEastAsia" w:hAnsiTheme="minorEastAsia"/>
          <w:bCs/>
          <w:kern w:val="0"/>
          <w:sz w:val="32"/>
          <w:szCs w:val="32"/>
        </w:rPr>
        <w:t>（二）决算单位构成。鹤城区城市建设投资管理中心</w:t>
      </w:r>
      <w:r>
        <w:rPr>
          <w:rFonts w:asciiTheme="minorEastAsia" w:hAnsiTheme="minorEastAsia"/>
          <w:bCs/>
          <w:kern w:val="0"/>
          <w:sz w:val="32"/>
          <w:szCs w:val="32"/>
        </w:rPr>
        <w:t>2019</w:t>
      </w:r>
      <w:r>
        <w:rPr>
          <w:rFonts w:hint="eastAsia" w:asciiTheme="minorEastAsia" w:hAnsiTheme="minorEastAsia"/>
          <w:bCs/>
          <w:kern w:val="0"/>
          <w:sz w:val="32"/>
          <w:szCs w:val="32"/>
        </w:rPr>
        <w:t>年部门决算汇总公开单位构成包括：鹤城区城市建设投资管理中心</w:t>
      </w:r>
      <w:r>
        <w:rPr>
          <w:rFonts w:hint="eastAsia" w:ascii="Times New Roman" w:hAnsi="Times New Roman" w:eastAsia="仿宋_GB2312" w:cs="Times New Roman"/>
          <w:bCs/>
          <w:kern w:val="0"/>
          <w:sz w:val="32"/>
          <w:szCs w:val="32"/>
        </w:rPr>
        <w:t>本级</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r>
        <w:rPr>
          <w:rFonts w:hint="eastAsia"/>
          <w:sz w:val="72"/>
          <w:szCs w:val="72"/>
        </w:rPr>
        <w:t>第二部分</w:t>
      </w:r>
    </w:p>
    <w:p>
      <w:pPr>
        <w:jc w:val="center"/>
        <w:rPr>
          <w:sz w:val="72"/>
          <w:szCs w:val="72"/>
        </w:rPr>
      </w:pPr>
    </w:p>
    <w:p>
      <w:pPr>
        <w:jc w:val="center"/>
        <w:rPr>
          <w:sz w:val="72"/>
          <w:szCs w:val="72"/>
        </w:rPr>
      </w:pPr>
      <w:r>
        <w:rPr>
          <w:rFonts w:hint="eastAsia"/>
          <w:sz w:val="72"/>
          <w:szCs w:val="72"/>
        </w:rPr>
        <w:t>部门决算表（详见附表）</w:t>
      </w:r>
    </w:p>
    <w:p>
      <w:pPr>
        <w:jc w:val="center"/>
        <w:rPr>
          <w:sz w:val="72"/>
          <w:szCs w:val="72"/>
        </w:rPr>
      </w:pPr>
    </w:p>
    <w:p>
      <w:pPr>
        <w:pStyle w:val="9"/>
        <w:rPr>
          <w:sz w:val="72"/>
          <w:szCs w:val="72"/>
        </w:rPr>
        <w:sectPr>
          <w:pgSz w:w="16838" w:h="11906" w:orient="landscape"/>
          <w:pgMar w:top="720" w:right="720" w:bottom="720" w:left="720" w:header="851" w:footer="992" w:gutter="0"/>
          <w:cols w:space="425" w:num="1"/>
          <w:docGrid w:type="lines" w:linePitch="312" w:charSpace="0"/>
        </w:sectPr>
      </w:pPr>
    </w:p>
    <w:p>
      <w:pPr>
        <w:pStyle w:val="9"/>
        <w:rPr>
          <w:sz w:val="72"/>
          <w:szCs w:val="72"/>
        </w:rPr>
      </w:pPr>
    </w:p>
    <w:p>
      <w:pPr>
        <w:pStyle w:val="9"/>
        <w:rPr>
          <w:sz w:val="72"/>
          <w:szCs w:val="72"/>
        </w:rPr>
      </w:pPr>
    </w:p>
    <w:p>
      <w:pPr>
        <w:pStyle w:val="9"/>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第三部分</w:t>
      </w:r>
    </w:p>
    <w:p>
      <w:pPr>
        <w:pStyle w:val="9"/>
        <w:jc w:val="center"/>
        <w:rPr>
          <w:sz w:val="70"/>
          <w:szCs w:val="70"/>
        </w:rPr>
      </w:pPr>
    </w:p>
    <w:p>
      <w:pPr>
        <w:pStyle w:val="9"/>
        <w:jc w:val="center"/>
        <w:rPr>
          <w:sz w:val="70"/>
          <w:szCs w:val="70"/>
        </w:rPr>
      </w:pPr>
      <w:r>
        <w:rPr>
          <w:sz w:val="70"/>
          <w:szCs w:val="70"/>
        </w:rPr>
        <w:t>2019</w:t>
      </w:r>
      <w:r>
        <w:rPr>
          <w:rFonts w:hint="eastAsia"/>
          <w:sz w:val="70"/>
          <w:szCs w:val="70"/>
        </w:rPr>
        <w:t>年度部门决算情况说明</w:t>
      </w:r>
    </w:p>
    <w:p>
      <w:pPr>
        <w:widowControl/>
        <w:jc w:val="left"/>
        <w:rPr>
          <w:rFonts w:ascii="黑体" w:eastAsia="黑体" w:cs="黑体"/>
          <w:color w:val="000000"/>
          <w:kern w:val="0"/>
          <w:sz w:val="70"/>
          <w:szCs w:val="70"/>
        </w:rPr>
      </w:pPr>
      <w:r>
        <w:rPr>
          <w:sz w:val="70"/>
          <w:szCs w:val="70"/>
        </w:rPr>
        <w:br w:type="page"/>
      </w:r>
    </w:p>
    <w:p>
      <w:pPr>
        <w:pStyle w:val="9"/>
        <w:rPr>
          <w:rFonts w:asciiTheme="minorEastAsia" w:hAnsiTheme="minorEastAsia" w:eastAsiaTheme="minorEastAsia"/>
          <w:sz w:val="32"/>
          <w:szCs w:val="32"/>
        </w:rPr>
      </w:pPr>
    </w:p>
    <w:p>
      <w:pPr>
        <w:pStyle w:val="9"/>
        <w:ind w:firstLine="640" w:firstLineChars="200"/>
        <w:rPr>
          <w:rFonts w:hAnsi="黑体"/>
          <w:b/>
          <w:sz w:val="32"/>
          <w:szCs w:val="32"/>
        </w:rPr>
      </w:pPr>
      <w:r>
        <w:rPr>
          <w:rFonts w:hint="eastAsia" w:hAnsi="黑体"/>
          <w:b/>
          <w:sz w:val="32"/>
          <w:szCs w:val="32"/>
        </w:rPr>
        <w:t>一、收入支出决算总体情况说明</w:t>
      </w:r>
    </w:p>
    <w:p>
      <w:pPr>
        <w:widowControl/>
        <w:spacing w:line="60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2019年收入</w:t>
      </w:r>
      <w:r>
        <w:rPr>
          <w:rFonts w:hint="eastAsia" w:asciiTheme="minorEastAsia" w:hAnsiTheme="minorEastAsia"/>
          <w:sz w:val="32"/>
          <w:szCs w:val="32"/>
        </w:rPr>
        <w:t>42788</w:t>
      </w:r>
      <w:r>
        <w:rPr>
          <w:rFonts w:hint="eastAsia" w:ascii="Times New Roman" w:hAnsi="Times New Roman" w:eastAsia="仿宋_GB2312" w:cs="Times New Roman"/>
          <w:kern w:val="0"/>
          <w:sz w:val="32"/>
          <w:szCs w:val="32"/>
        </w:rPr>
        <w:t>万元，与2018年对比，增加</w:t>
      </w:r>
      <w:r>
        <w:rPr>
          <w:rFonts w:hint="eastAsia" w:asciiTheme="minorEastAsia" w:hAnsiTheme="minorEastAsia"/>
          <w:sz w:val="32"/>
          <w:szCs w:val="32"/>
        </w:rPr>
        <w:t>38481.3</w:t>
      </w:r>
      <w:r>
        <w:rPr>
          <w:rFonts w:hint="eastAsia" w:ascii="Times New Roman" w:hAnsi="Times New Roman" w:eastAsia="仿宋_GB2312" w:cs="Times New Roman"/>
          <w:kern w:val="0"/>
          <w:sz w:val="32"/>
          <w:szCs w:val="32"/>
        </w:rPr>
        <w:t>万元，增加894%，原因是政府性基金收入增加。2019年支出</w:t>
      </w:r>
      <w:r>
        <w:rPr>
          <w:rFonts w:hint="eastAsia" w:asciiTheme="minorEastAsia" w:hAnsiTheme="minorEastAsia"/>
          <w:sz w:val="32"/>
          <w:szCs w:val="32"/>
        </w:rPr>
        <w:t>42788</w:t>
      </w:r>
      <w:r>
        <w:rPr>
          <w:rFonts w:hint="eastAsia" w:ascii="Times New Roman" w:hAnsi="Times New Roman" w:eastAsia="仿宋_GB2312" w:cs="Times New Roman"/>
          <w:kern w:val="0"/>
          <w:sz w:val="32"/>
          <w:szCs w:val="32"/>
        </w:rPr>
        <w:t>万元，与2018年对比，增加</w:t>
      </w:r>
      <w:r>
        <w:rPr>
          <w:rFonts w:hint="eastAsia" w:asciiTheme="minorEastAsia" w:hAnsiTheme="minorEastAsia"/>
          <w:sz w:val="32"/>
          <w:szCs w:val="32"/>
        </w:rPr>
        <w:t>38481.3</w:t>
      </w:r>
      <w:r>
        <w:rPr>
          <w:rFonts w:hint="eastAsia" w:ascii="Times New Roman" w:hAnsi="Times New Roman" w:eastAsia="仿宋_GB2312" w:cs="Times New Roman"/>
          <w:kern w:val="0"/>
          <w:sz w:val="32"/>
          <w:szCs w:val="32"/>
        </w:rPr>
        <w:t>万元，增加894%，原因是政府性基金支出增加。</w:t>
      </w:r>
    </w:p>
    <w:p>
      <w:pPr>
        <w:pStyle w:val="9"/>
        <w:ind w:firstLine="640" w:firstLineChars="200"/>
        <w:rPr>
          <w:rFonts w:hAnsi="黑体"/>
          <w:b/>
          <w:sz w:val="32"/>
          <w:szCs w:val="32"/>
        </w:rPr>
      </w:pPr>
      <w:r>
        <w:rPr>
          <w:rFonts w:hint="eastAsia" w:hAnsi="黑体"/>
          <w:b/>
          <w:sz w:val="32"/>
          <w:szCs w:val="32"/>
        </w:rPr>
        <w:t>二、收入决算情况说明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本年收入合计42788万元，其中：财政拨款收入42788万元，占100%；上级补助收入0万元，占0%；事业收入0万元，占0%；经营收入0万元，占0%；附属单位上缴收入0万元，占0%；其他收入0万元，占0%。</w:t>
      </w:r>
    </w:p>
    <w:p>
      <w:pPr>
        <w:pStyle w:val="9"/>
        <w:ind w:firstLine="640" w:firstLineChars="200"/>
        <w:rPr>
          <w:rFonts w:hAnsi="黑体"/>
          <w:b/>
          <w:sz w:val="32"/>
          <w:szCs w:val="32"/>
        </w:rPr>
      </w:pPr>
      <w:r>
        <w:rPr>
          <w:rFonts w:hint="eastAsia" w:hAnsi="黑体"/>
          <w:b/>
          <w:sz w:val="32"/>
          <w:szCs w:val="32"/>
        </w:rPr>
        <w:t>三、支出决算情况说明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本年支出合计42788万元，其中：基本支出342万元，占1%；项目支出42446万元，占99%；上缴上级支出0万元，占0%；经营支出0万元，占0%；对附属单位补助支出0万元，占0%。</w:t>
      </w:r>
    </w:p>
    <w:p>
      <w:pPr>
        <w:pStyle w:val="9"/>
        <w:ind w:firstLine="640" w:firstLineChars="200"/>
        <w:rPr>
          <w:rFonts w:hAnsi="黑体"/>
          <w:b/>
          <w:sz w:val="32"/>
          <w:szCs w:val="32"/>
        </w:rPr>
      </w:pPr>
      <w:r>
        <w:rPr>
          <w:rFonts w:hint="eastAsia" w:hAnsi="黑体"/>
          <w:b/>
          <w:sz w:val="32"/>
          <w:szCs w:val="32"/>
        </w:rPr>
        <w:t>四、财政拨款收入支出决算总体情况说明</w:t>
      </w:r>
    </w:p>
    <w:p>
      <w:pPr>
        <w:pStyle w:val="9"/>
        <w:ind w:firstLine="640"/>
        <w:rPr>
          <w:rFonts w:hAnsi="黑体"/>
          <w:b/>
          <w:sz w:val="32"/>
          <w:szCs w:val="32"/>
        </w:rPr>
      </w:pPr>
      <w:r>
        <w:rPr>
          <w:rFonts w:hint="eastAsia" w:ascii="Times New Roman" w:hAnsi="Times New Roman" w:eastAsia="仿宋_GB2312" w:cs="Times New Roman"/>
          <w:sz w:val="32"/>
          <w:szCs w:val="32"/>
        </w:rPr>
        <w:t>2019年收入</w:t>
      </w:r>
      <w:r>
        <w:rPr>
          <w:rFonts w:hint="eastAsia" w:asciiTheme="minorEastAsia" w:hAnsiTheme="minorEastAsia" w:eastAsiaTheme="minorEastAsia"/>
          <w:sz w:val="32"/>
          <w:szCs w:val="32"/>
        </w:rPr>
        <w:t>42788</w:t>
      </w:r>
      <w:r>
        <w:rPr>
          <w:rFonts w:hint="eastAsia" w:ascii="Times New Roman" w:hAnsi="Times New Roman" w:eastAsia="仿宋_GB2312" w:cs="Times New Roman"/>
          <w:sz w:val="32"/>
          <w:szCs w:val="32"/>
        </w:rPr>
        <w:t>万元，与2018年对比，增加</w:t>
      </w:r>
      <w:r>
        <w:rPr>
          <w:rFonts w:hint="eastAsia" w:asciiTheme="minorEastAsia" w:hAnsiTheme="minorEastAsia" w:eastAsiaTheme="minorEastAsia"/>
          <w:sz w:val="32"/>
          <w:szCs w:val="32"/>
        </w:rPr>
        <w:t>38481.3</w:t>
      </w:r>
      <w:r>
        <w:rPr>
          <w:rFonts w:hint="eastAsia" w:ascii="Times New Roman" w:hAnsi="Times New Roman" w:eastAsia="仿宋_GB2312" w:cs="Times New Roman"/>
          <w:sz w:val="32"/>
          <w:szCs w:val="32"/>
        </w:rPr>
        <w:t>万元，增加894%，原因是政府性基金收入增加。2019年支出</w:t>
      </w:r>
      <w:r>
        <w:rPr>
          <w:rFonts w:hint="eastAsia" w:asciiTheme="minorEastAsia" w:hAnsiTheme="minorEastAsia" w:eastAsiaTheme="minorEastAsia"/>
          <w:sz w:val="32"/>
          <w:szCs w:val="32"/>
        </w:rPr>
        <w:t>42788</w:t>
      </w:r>
      <w:r>
        <w:rPr>
          <w:rFonts w:hint="eastAsia" w:ascii="Times New Roman" w:hAnsi="Times New Roman" w:eastAsia="仿宋_GB2312" w:cs="Times New Roman"/>
          <w:sz w:val="32"/>
          <w:szCs w:val="32"/>
        </w:rPr>
        <w:t>万元，与2018年对比，增加</w:t>
      </w:r>
      <w:r>
        <w:rPr>
          <w:rFonts w:hint="eastAsia" w:asciiTheme="minorEastAsia" w:hAnsiTheme="minorEastAsia" w:eastAsiaTheme="minorEastAsia"/>
          <w:sz w:val="32"/>
          <w:szCs w:val="32"/>
        </w:rPr>
        <w:t>38481.3</w:t>
      </w:r>
      <w:r>
        <w:rPr>
          <w:rFonts w:hint="eastAsia" w:ascii="Times New Roman" w:hAnsi="Times New Roman" w:eastAsia="仿宋_GB2312" w:cs="Times New Roman"/>
          <w:sz w:val="32"/>
          <w:szCs w:val="32"/>
        </w:rPr>
        <w:t>万元，增加894%，原因是政府性基金支出增加。</w:t>
      </w:r>
      <w:r>
        <w:rPr>
          <w:rFonts w:ascii="Times New Roman" w:hAnsi="Times New Roman" w:eastAsia="仿宋_GB2312" w:cs="Times New Roman"/>
          <w:sz w:val="32"/>
          <w:szCs w:val="32"/>
        </w:rPr>
        <w:br w:type="textWrapping"/>
      </w:r>
      <w:r>
        <w:rPr>
          <w:rFonts w:hint="eastAsia" w:hAnsi="黑体"/>
          <w:b/>
          <w:sz w:val="32"/>
          <w:szCs w:val="32"/>
        </w:rPr>
        <w:t>五、一般公共预算财政拨款支出决算情况说明</w:t>
      </w:r>
    </w:p>
    <w:p>
      <w:pPr>
        <w:pStyle w:val="9"/>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2019年度财政拨款支出42788万元，占本年支出合计的100%，与2018年相比，财政拨款支出增加38481.3万元，增长894%，主要是因为政府性基金支出增加。</w:t>
      </w:r>
    </w:p>
    <w:p>
      <w:pPr>
        <w:pStyle w:val="9"/>
        <w:ind w:firstLine="480"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2019年度财政拨款支出42788万元，主要用于以下方面：其他城乡社区管理事务支出342万元，占1%； 其他城乡社区公共设施支出22423万元，占52%；城乡社区环境卫生支出20023万元，占47%。</w:t>
      </w:r>
    </w:p>
    <w:p>
      <w:pPr>
        <w:pStyle w:val="9"/>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2019年度财政拨款支出年初预算数为101080万元，支出决算数为42788万元，完成年初预算的42%，其中：</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1、一般公共服务（类）城乡社区管理事务（款） 其他城乡社区管理事务支出（项）。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年初预算为161万元，支出决算为342万元，完成年初预算的212%，决算数大于年初预算数的主要原因是：人员调入，经费增加。</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2、一般公共服务（类）城乡社区公共设施（款）其他城乡社区公共设施支出、城乡社区环境卫生（项）。</w:t>
      </w:r>
    </w:p>
    <w:p>
      <w:pPr>
        <w:widowControl/>
        <w:spacing w:line="600" w:lineRule="exact"/>
        <w:ind w:firstLine="640" w:firstLineChars="200"/>
        <w:rPr>
          <w:rFonts w:asciiTheme="minorEastAsia" w:hAnsiTheme="minorEastAsia"/>
          <w:sz w:val="32"/>
          <w:szCs w:val="32"/>
        </w:rPr>
      </w:pPr>
      <w:r>
        <w:rPr>
          <w:rFonts w:hint="eastAsia" w:asciiTheme="minorEastAsia" w:hAnsiTheme="minorEastAsia"/>
          <w:sz w:val="32"/>
          <w:szCs w:val="32"/>
        </w:rPr>
        <w:t>年初预算为100864万元，支出决算为42446万元，完成年初预算的42%，决算数小于年初预算数的主要原因是：政府性基金支出减少。</w:t>
      </w:r>
    </w:p>
    <w:p>
      <w:pPr>
        <w:pStyle w:val="9"/>
        <w:ind w:firstLine="640" w:firstLineChars="200"/>
        <w:rPr>
          <w:rFonts w:hAnsi="黑体"/>
          <w:b/>
          <w:sz w:val="32"/>
          <w:szCs w:val="32"/>
        </w:rPr>
      </w:pPr>
      <w:r>
        <w:rPr>
          <w:rFonts w:hint="eastAsia" w:hAnsi="黑体"/>
          <w:b/>
          <w:sz w:val="32"/>
          <w:szCs w:val="32"/>
        </w:rPr>
        <w:t>六、一般公共预算财政拨款基本支出决算情况说明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2019年度财政拨款基本支出342万元，其中：人员经费325万元，占基本支出的95%,主要包括基本工资、津贴补贴、奖金、伙食补助费、机关事业单位基本养老保险缴费、职工基本医疗保险缴费、其他社会保障缴费、住房公积金、其他工资福利支出、离休费、抚恤金、生活补助、奖励金、其他对个人和家庭的补助等；公用经费17万元，占基本支出的5%，主要包括办公费、印刷费、咨询费、水费、电费、差旅费、工会经费、其他商品和服务支出。</w:t>
      </w:r>
    </w:p>
    <w:p>
      <w:pPr>
        <w:pStyle w:val="9"/>
        <w:ind w:firstLine="640" w:firstLineChars="200"/>
        <w:rPr>
          <w:rFonts w:hAnsi="黑体"/>
          <w:b/>
          <w:sz w:val="32"/>
          <w:szCs w:val="32"/>
        </w:rPr>
      </w:pPr>
      <w:r>
        <w:rPr>
          <w:rFonts w:hint="eastAsia" w:hAnsi="黑体"/>
          <w:b/>
          <w:sz w:val="32"/>
          <w:szCs w:val="32"/>
        </w:rPr>
        <w:t>七、一般公共预算财政拨款三公经费支出决算情况说明</w:t>
      </w:r>
    </w:p>
    <w:p>
      <w:pPr>
        <w:pStyle w:val="9"/>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“三公”经费财政拨款支出预算为</w:t>
      </w:r>
      <w:r>
        <w:rPr>
          <w:rFonts w:hint="eastAsia" w:asciiTheme="minorEastAsia" w:hAnsiTheme="minorEastAsia" w:eastAsiaTheme="minorEastAsia"/>
          <w:sz w:val="32"/>
          <w:szCs w:val="32"/>
          <w:lang w:val="en-US" w:eastAsia="zh-CN"/>
        </w:rPr>
        <w:t>14</w:t>
      </w:r>
      <w:r>
        <w:rPr>
          <w:rFonts w:hint="eastAsia" w:asciiTheme="minorEastAsia" w:hAnsiTheme="minorEastAsia" w:eastAsiaTheme="minorEastAsia"/>
          <w:sz w:val="32"/>
          <w:szCs w:val="32"/>
        </w:rPr>
        <w:t>万元，支出决算为12.9万元，完成预算的</w:t>
      </w:r>
      <w:r>
        <w:rPr>
          <w:rFonts w:hint="eastAsia" w:asciiTheme="minorEastAsia" w:hAnsiTheme="minorEastAsia" w:eastAsiaTheme="minorEastAsia"/>
          <w:sz w:val="32"/>
          <w:szCs w:val="32"/>
          <w:lang w:val="en-US" w:eastAsia="zh-CN"/>
        </w:rPr>
        <w:t>92</w:t>
      </w:r>
      <w:r>
        <w:rPr>
          <w:rFonts w:hint="eastAsia" w:asciiTheme="minorEastAsia" w:hAnsiTheme="minorEastAsia" w:eastAsiaTheme="minorEastAsia"/>
          <w:sz w:val="32"/>
          <w:szCs w:val="32"/>
        </w:rPr>
        <w:t>%，其中：</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因公出国（境）费支出预算为0万元，支出决算为0万元，完成预算的0%。</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公务接待费支出预算为</w:t>
      </w:r>
      <w:r>
        <w:rPr>
          <w:rFonts w:hint="eastAsia" w:asciiTheme="minorEastAsia" w:hAnsiTheme="minorEastAsia" w:eastAsiaTheme="minorEastAsia"/>
          <w:sz w:val="32"/>
          <w:szCs w:val="32"/>
          <w:lang w:val="en-US" w:eastAsia="zh-CN"/>
        </w:rPr>
        <w:t>6</w:t>
      </w:r>
      <w:r>
        <w:rPr>
          <w:rFonts w:hint="eastAsia" w:asciiTheme="minorEastAsia" w:hAnsiTheme="minorEastAsia" w:eastAsiaTheme="minorEastAsia"/>
          <w:sz w:val="32"/>
          <w:szCs w:val="32"/>
        </w:rPr>
        <w:t>万元，支出决算为5.9万元，完成预算的</w:t>
      </w:r>
      <w:r>
        <w:rPr>
          <w:rFonts w:hint="eastAsia" w:asciiTheme="minorEastAsia" w:hAnsiTheme="minorEastAsia" w:eastAsiaTheme="minorEastAsia"/>
          <w:sz w:val="32"/>
          <w:szCs w:val="32"/>
          <w:lang w:val="en-US" w:eastAsia="zh-CN"/>
        </w:rPr>
        <w:t>98</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val="en-US" w:eastAsia="zh-CN"/>
        </w:rPr>
        <w:t>小于</w:t>
      </w:r>
      <w:r>
        <w:rPr>
          <w:rFonts w:hint="eastAsia" w:asciiTheme="minorEastAsia" w:hAnsiTheme="minorEastAsia" w:eastAsiaTheme="minorEastAsia"/>
          <w:sz w:val="32"/>
          <w:szCs w:val="32"/>
        </w:rPr>
        <w:t>年初预算数的主要原因严格执行中央八项规定、厉行节俭，减少不必要的浪费</w:t>
      </w:r>
      <w:r>
        <w:rPr>
          <w:rFonts w:hint="eastAsia" w:asciiTheme="minorEastAsia" w:hAnsiTheme="minorEastAsia" w:eastAsiaTheme="minorEastAsia"/>
          <w:sz w:val="32"/>
          <w:szCs w:val="32"/>
          <w:lang w:eastAsia="zh-CN"/>
        </w:rPr>
        <w:t>。</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公务用车购置费及运行维护费支出预算为</w:t>
      </w:r>
      <w:r>
        <w:rPr>
          <w:rFonts w:hint="eastAsia" w:asciiTheme="minorEastAsia" w:hAnsiTheme="minorEastAsia" w:eastAsiaTheme="minorEastAsia"/>
          <w:sz w:val="32"/>
          <w:szCs w:val="32"/>
          <w:lang w:val="en-US" w:eastAsia="zh-CN"/>
        </w:rPr>
        <w:t>8</w:t>
      </w:r>
      <w:r>
        <w:rPr>
          <w:rFonts w:hint="eastAsia" w:asciiTheme="minorEastAsia" w:hAnsiTheme="minorEastAsia" w:eastAsiaTheme="minorEastAsia"/>
          <w:sz w:val="32"/>
          <w:szCs w:val="32"/>
        </w:rPr>
        <w:t>万元，支出决算为7万元，完成预算的</w:t>
      </w:r>
      <w:r>
        <w:rPr>
          <w:rFonts w:hint="eastAsia" w:asciiTheme="minorEastAsia" w:hAnsiTheme="minorEastAsia" w:eastAsiaTheme="minorEastAsia"/>
          <w:sz w:val="32"/>
          <w:szCs w:val="32"/>
          <w:lang w:val="en-US" w:eastAsia="zh-CN"/>
        </w:rPr>
        <w:t>88</w:t>
      </w:r>
      <w:r>
        <w:rPr>
          <w:rFonts w:hint="eastAsia" w:asciiTheme="minorEastAsia" w:hAnsiTheme="minorEastAsia" w:eastAsiaTheme="minorEastAsia"/>
          <w:sz w:val="32"/>
          <w:szCs w:val="32"/>
        </w:rPr>
        <w:t>%，决算数小于年初预算数的主要原因是严格执行中央八项规定、厉行节俭，减少不必要的浪费。</w:t>
      </w:r>
    </w:p>
    <w:p>
      <w:pPr>
        <w:pStyle w:val="9"/>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2019年度“三公”经费财政拨款支出决算中，公务接待费支出决算5.9万元，占</w:t>
      </w:r>
      <w:r>
        <w:rPr>
          <w:rFonts w:hint="eastAsia" w:asciiTheme="minorEastAsia" w:hAnsiTheme="minorEastAsia" w:eastAsiaTheme="minorEastAsia"/>
          <w:sz w:val="32"/>
          <w:szCs w:val="32"/>
          <w:lang w:val="en-US" w:eastAsia="zh-CN"/>
        </w:rPr>
        <w:t>46</w:t>
      </w:r>
      <w:r>
        <w:rPr>
          <w:rFonts w:hint="eastAsia" w:asciiTheme="minorEastAsia" w:hAnsiTheme="minorEastAsia" w:eastAsiaTheme="minorEastAsia"/>
          <w:sz w:val="32"/>
          <w:szCs w:val="32"/>
        </w:rPr>
        <w:t>%,因公出国（境）费支出决算0元，占0%,公务用车购置费及运行维护费支出决算7万元，占</w:t>
      </w:r>
      <w:r>
        <w:rPr>
          <w:rFonts w:hint="eastAsia" w:asciiTheme="minorEastAsia" w:hAnsiTheme="minorEastAsia" w:eastAsiaTheme="minorEastAsia"/>
          <w:sz w:val="32"/>
          <w:szCs w:val="32"/>
          <w:lang w:val="en-US" w:eastAsia="zh-CN"/>
        </w:rPr>
        <w:t>54</w:t>
      </w:r>
      <w:r>
        <w:rPr>
          <w:rFonts w:hint="eastAsia" w:asciiTheme="minorEastAsia" w:hAnsiTheme="minorEastAsia" w:eastAsiaTheme="minorEastAsia"/>
          <w:sz w:val="32"/>
          <w:szCs w:val="32"/>
        </w:rPr>
        <w:t>%。其中：</w:t>
      </w:r>
    </w:p>
    <w:p>
      <w:pPr>
        <w:pStyle w:val="9"/>
        <w:rPr>
          <w:rFonts w:asciiTheme="minorEastAsia" w:hAnsiTheme="minorEastAsia" w:eastAsiaTheme="minorEastAsia"/>
          <w:sz w:val="32"/>
          <w:szCs w:val="32"/>
        </w:rPr>
      </w:pPr>
      <w:r>
        <w:rPr>
          <w:rFonts w:hint="eastAsia" w:asciiTheme="minorEastAsia" w:hAnsiTheme="minorEastAsia" w:eastAsiaTheme="minorEastAsia"/>
          <w:sz w:val="32"/>
          <w:szCs w:val="32"/>
        </w:rPr>
        <w:t>1、因公出国（境）费支出决算为0万元，全年安排因公出国（境）团组0个，累计0人次。</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2、公务接待费支出决算为5.9万元，全年共接待来访团组45个、来宾380人次，主要是汽贸城一期财务报表审计招待、宏大榆树湾项目接待、省建工集团考察签约等发生的接待支出。</w:t>
      </w:r>
    </w:p>
    <w:p>
      <w:pPr>
        <w:ind w:firstLine="800" w:firstLineChars="250"/>
        <w:rPr>
          <w:rFonts w:cs="黑体" w:asciiTheme="minorEastAsia" w:hAnsiTheme="minorEastAsia"/>
          <w:color w:val="000000"/>
          <w:kern w:val="0"/>
          <w:sz w:val="32"/>
          <w:szCs w:val="32"/>
        </w:rPr>
      </w:pPr>
      <w:r>
        <w:rPr>
          <w:rFonts w:hint="eastAsia" w:asciiTheme="minorEastAsia" w:hAnsiTheme="minorEastAsia"/>
          <w:sz w:val="32"/>
          <w:szCs w:val="32"/>
        </w:rPr>
        <w:t>3、公务用车购置费及运行维护费支出决算为7万元，其中：公务用车购置费0万元</w:t>
      </w:r>
      <w:r>
        <w:rPr>
          <w:rFonts w:hint="eastAsia" w:asciiTheme="minorEastAsia" w:hAnsiTheme="minorEastAsia"/>
          <w:color w:val="000000" w:themeColor="text1"/>
          <w:sz w:val="32"/>
          <w:szCs w:val="32"/>
        </w:rPr>
        <w:t>。</w:t>
      </w:r>
      <w:r>
        <w:rPr>
          <w:rFonts w:hint="eastAsia" w:asciiTheme="minorEastAsia" w:hAnsiTheme="minorEastAsia"/>
          <w:sz w:val="32"/>
          <w:szCs w:val="32"/>
        </w:rPr>
        <w:t>公务用车运行维护费7万元，主要是车辆运行维护支出，截止2019年12月31日，我单位开支财政拨款的公务用车保有量为3辆。</w:t>
      </w:r>
    </w:p>
    <w:p>
      <w:pPr>
        <w:pStyle w:val="9"/>
        <w:ind w:firstLine="640" w:firstLineChars="200"/>
        <w:rPr>
          <w:rFonts w:hAnsi="黑体"/>
          <w:b/>
          <w:sz w:val="32"/>
          <w:szCs w:val="32"/>
        </w:rPr>
      </w:pPr>
      <w:r>
        <w:rPr>
          <w:rFonts w:hint="eastAsia" w:hAnsi="黑体"/>
          <w:b/>
          <w:sz w:val="32"/>
          <w:szCs w:val="32"/>
        </w:rPr>
        <w:t>八、政府性基金预算收入支出决算情况</w:t>
      </w:r>
    </w:p>
    <w:p>
      <w:pPr>
        <w:pStyle w:val="9"/>
        <w:rPr>
          <w:rFonts w:asciiTheme="minorEastAsia" w:hAnsiTheme="minorEastAsia" w:eastAsiaTheme="minorEastAsia"/>
          <w:sz w:val="32"/>
          <w:szCs w:val="32"/>
        </w:rPr>
      </w:pPr>
      <w:r>
        <w:rPr>
          <w:rFonts w:hint="eastAsia" w:asciiTheme="minorEastAsia" w:hAnsiTheme="minorEastAsia" w:eastAsiaTheme="minorEastAsia"/>
          <w:sz w:val="32"/>
          <w:szCs w:val="32"/>
        </w:rPr>
        <w:t xml:space="preserve">     2019年度政府性基金预算财政拨款收入22423万元；年初结转和结余0万元；支出22423万元，其中基本支出0万元，项目支出22423万元；年末结转和结余0万元。</w:t>
      </w:r>
      <w:bookmarkStart w:id="0" w:name="_GoBack"/>
      <w:bookmarkEnd w:id="0"/>
    </w:p>
    <w:p>
      <w:pPr>
        <w:pStyle w:val="9"/>
        <w:ind w:firstLine="640" w:firstLineChars="200"/>
        <w:rPr>
          <w:rFonts w:hAnsi="黑体"/>
          <w:b/>
          <w:sz w:val="32"/>
          <w:szCs w:val="32"/>
        </w:rPr>
      </w:pPr>
      <w:r>
        <w:rPr>
          <w:rFonts w:hint="eastAsia" w:hAnsi="黑体"/>
          <w:b/>
          <w:sz w:val="32"/>
          <w:szCs w:val="32"/>
        </w:rPr>
        <w:t>九、关于2019年度预算绩效情况说明</w:t>
      </w:r>
    </w:p>
    <w:p>
      <w:pPr>
        <w:pStyle w:val="9"/>
        <w:ind w:firstLine="640" w:firstLineChars="200"/>
        <w:rPr>
          <w:rFonts w:ascii="宋体" w:hAnsi="宋体" w:eastAsia="宋体" w:cs="宋体"/>
          <w:sz w:val="32"/>
          <w:szCs w:val="32"/>
        </w:rPr>
      </w:pPr>
      <w:r>
        <w:rPr>
          <w:rFonts w:hint="eastAsia" w:ascii="宋体" w:hAnsi="宋体" w:eastAsia="宋体" w:cs="宋体"/>
          <w:sz w:val="32"/>
          <w:szCs w:val="32"/>
        </w:rPr>
        <w:t>2019年，我单位积极推进预算绩效管理，合理制定和编报年度预算，加强资金管理，提高资金使用效益，建立完善内部监督机制，合理列支年度经费支出。</w:t>
      </w:r>
    </w:p>
    <w:p>
      <w:pPr>
        <w:pStyle w:val="9"/>
        <w:ind w:firstLine="640" w:firstLineChars="200"/>
        <w:rPr>
          <w:rFonts w:hAnsi="黑体"/>
          <w:b/>
          <w:sz w:val="32"/>
          <w:szCs w:val="32"/>
        </w:rPr>
      </w:pPr>
      <w:r>
        <w:rPr>
          <w:rFonts w:hint="eastAsia" w:hAnsi="黑体"/>
          <w:b/>
          <w:sz w:val="32"/>
          <w:szCs w:val="32"/>
        </w:rPr>
        <w:t>十、其他重要事项情况说明</w:t>
      </w:r>
    </w:p>
    <w:p>
      <w:pPr>
        <w:ind w:firstLine="480" w:firstLineChars="150"/>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rPr>
        <w:t>（一）机关运行经费支出情况</w:t>
      </w:r>
    </w:p>
    <w:p>
      <w:pPr>
        <w:ind w:firstLine="640" w:firstLineChars="200"/>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本部门2019 年度机关运行经费支出</w:t>
      </w:r>
      <w:r>
        <w:rPr>
          <w:rFonts w:hint="eastAsia" w:asciiTheme="minorEastAsia" w:hAnsiTheme="minorEastAsia"/>
          <w:sz w:val="32"/>
          <w:szCs w:val="32"/>
        </w:rPr>
        <w:t>17</w:t>
      </w:r>
      <w:r>
        <w:rPr>
          <w:rFonts w:hint="eastAsia" w:cs="黑体" w:asciiTheme="minorEastAsia" w:hAnsiTheme="minorEastAsia"/>
          <w:color w:val="000000"/>
          <w:kern w:val="0"/>
          <w:sz w:val="32"/>
          <w:szCs w:val="32"/>
        </w:rPr>
        <w:t>万元，比年初预算数减少2万元，降低11%。主要原因是：本单位例行节约，严格控制机关运行经费。</w:t>
      </w:r>
    </w:p>
    <w:p>
      <w:pPr>
        <w:ind w:firstLine="640" w:firstLineChars="200"/>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rPr>
        <w:t>（二）一般性支出情况</w:t>
      </w:r>
    </w:p>
    <w:p>
      <w:pPr>
        <w:ind w:firstLine="640" w:firstLineChars="200"/>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2019年本部门开支会议费0万元，人数0人；开支培训费0万元，人数0人，未举办其他培训活动，节庆、晚会、论坛、赛事等活动</w:t>
      </w:r>
    </w:p>
    <w:p>
      <w:pPr>
        <w:ind w:firstLine="640" w:firstLineChars="200"/>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rPr>
        <w:t>（三）政府采购支出情况</w:t>
      </w:r>
    </w:p>
    <w:p>
      <w:pPr>
        <w:ind w:firstLine="640" w:firstLineChars="200"/>
        <w:rPr>
          <w:rFonts w:cs="黑体" w:asciiTheme="minorEastAsia" w:hAnsiTheme="minorEastAsia"/>
          <w:i/>
          <w:color w:val="FF0000"/>
          <w:kern w:val="0"/>
          <w:sz w:val="32"/>
          <w:szCs w:val="32"/>
        </w:rPr>
      </w:pPr>
      <w:r>
        <w:rPr>
          <w:rFonts w:hint="eastAsia" w:cs="黑体" w:asciiTheme="minorEastAsia" w:hAnsiTheme="minorEastAsia"/>
          <w:color w:val="000000"/>
          <w:kern w:val="0"/>
          <w:sz w:val="32"/>
          <w:szCs w:val="32"/>
        </w:rPr>
        <w:t>本部门2019年度政府采购支出总额0万元，其中：政府采购货物支出0万元、政府采购工程支出0万元、政府采购服务支出0万元。授予中小企业合同金额0万元，占政府采购支出总额的0%，其中：授予小微企业合同金额0万元，占政府采购支出总额的0%。</w:t>
      </w:r>
    </w:p>
    <w:p>
      <w:pPr>
        <w:ind w:firstLine="480" w:firstLineChars="150"/>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rPr>
        <w:t>（四）国有资产占用情况</w:t>
      </w:r>
    </w:p>
    <w:p>
      <w:pPr>
        <w:ind w:firstLine="640" w:firstLineChars="200"/>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截至2019年12月31日，本单位共有车辆3辆，其中，领导干部用车2辆、机要通信用车0辆、应急保障用车0辆、执法执勤用车0辆、特种专业技术用车0辆、其他用车1辆，其他用车主要是用于下乡扶贫工作；单位价值50万元以上通用设备0台（套）；单位价值100万元以上专用设备0台（套）。</w:t>
      </w:r>
    </w:p>
    <w:p>
      <w:pPr>
        <w:widowControl/>
        <w:jc w:val="left"/>
        <w:rPr>
          <w:rFonts w:cs="黑体" w:asciiTheme="minorEastAsia" w:hAnsiTheme="minorEastAsia"/>
          <w:color w:val="000000"/>
          <w:kern w:val="0"/>
          <w:sz w:val="32"/>
          <w:szCs w:val="32"/>
        </w:rPr>
      </w:pPr>
      <w:r>
        <w:rPr>
          <w:rFonts w:cs="黑体" w:asciiTheme="minorEastAsia" w:hAnsiTheme="minorEastAsia"/>
          <w:color w:val="000000"/>
          <w:kern w:val="0"/>
          <w:sz w:val="32"/>
          <w:szCs w:val="32"/>
        </w:rPr>
        <w:br w:type="page"/>
      </w:r>
    </w:p>
    <w:p>
      <w:pPr>
        <w:ind w:firstLine="640" w:firstLineChars="200"/>
        <w:rPr>
          <w:rFonts w:cs="黑体" w:asciiTheme="minorEastAsia" w:hAnsiTheme="minorEastAsia"/>
          <w:color w:val="000000"/>
          <w:kern w:val="0"/>
          <w:sz w:val="32"/>
          <w:szCs w:val="3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left"/>
        <w:rPr>
          <w:rFonts w:cs="黑体" w:asciiTheme="minorEastAsia" w:hAnsiTheme="minorEastAsia"/>
          <w:color w:val="000000"/>
          <w:kern w:val="0"/>
          <w:sz w:val="32"/>
          <w:szCs w:val="32"/>
        </w:rPr>
      </w:pPr>
    </w:p>
    <w:p>
      <w:pPr>
        <w:spacing w:line="600" w:lineRule="exact"/>
        <w:ind w:firstLine="640" w:firstLineChars="200"/>
        <w:rPr>
          <w:rFonts w:ascii="Calibri" w:hAnsi="Calibri" w:eastAsia="仿宋_GB2312" w:cs="宋体"/>
          <w:kern w:val="0"/>
          <w:sz w:val="32"/>
          <w:szCs w:val="32"/>
        </w:rPr>
      </w:pPr>
      <w:r>
        <w:rPr>
          <w:rFonts w:hint="eastAsia" w:eastAsia="仿宋_GB2312"/>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pPr>
        <w:spacing w:line="600" w:lineRule="exact"/>
        <w:ind w:firstLine="640" w:firstLineChars="200"/>
        <w:rPr>
          <w:rFonts w:eastAsia="仿宋_GB2312"/>
          <w:kern w:val="0"/>
          <w:sz w:val="32"/>
          <w:szCs w:val="32"/>
        </w:rPr>
      </w:pPr>
      <w:r>
        <w:rPr>
          <w:rFonts w:hint="eastAsia" w:eastAsia="仿宋_GB2312"/>
          <w:kern w:val="0"/>
          <w:sz w:val="32"/>
          <w:szCs w:val="32"/>
        </w:rPr>
        <w:t>二、</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经费：纳入财政预算管理的</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widowControl/>
        <w:spacing w:line="600" w:lineRule="exact"/>
        <w:rPr>
          <w:rFonts w:ascii="Times New Roman" w:hAnsi="Times New Roman" w:eastAsia="黑体" w:cs="Times New Roman"/>
          <w:bCs/>
          <w:kern w:val="0"/>
          <w:sz w:val="32"/>
          <w:szCs w:val="32"/>
        </w:rPr>
      </w:pPr>
    </w:p>
    <w:p>
      <w:pPr>
        <w:widowControl/>
        <w:jc w:val="left"/>
        <w:rPr>
          <w:rFonts w:asciiTheme="minorEastAsia" w:hAnsiTheme="minorEastAsia"/>
          <w:i/>
          <w:color w:val="FF0000"/>
          <w:sz w:val="32"/>
          <w:szCs w:val="32"/>
        </w:rPr>
      </w:pPr>
      <w:r>
        <w:rPr>
          <w:rFonts w:asciiTheme="minorEastAsia" w:hAnsiTheme="minorEastAsia"/>
          <w:i/>
          <w:color w:val="FF0000"/>
          <w:sz w:val="32"/>
          <w:szCs w:val="32"/>
        </w:rPr>
        <w:br w:type="page"/>
      </w: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jc w:val="center"/>
        <w:rPr>
          <w:rFonts w:ascii="黑体" w:eastAsia="黑体" w:cs="黑体"/>
          <w:color w:val="000000"/>
          <w:kern w:val="0"/>
          <w:sz w:val="70"/>
          <w:szCs w:val="70"/>
        </w:rPr>
      </w:pPr>
    </w:p>
    <w:p>
      <w:pPr>
        <w:ind w:firstLine="640" w:firstLineChars="200"/>
        <w:jc w:val="center"/>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rPr>
        <w:t>2019年度部门整体支出绩效评价报告</w:t>
      </w:r>
    </w:p>
    <w:p>
      <w:pPr>
        <w:ind w:firstLine="640" w:firstLineChars="200"/>
        <w:jc w:val="center"/>
        <w:rPr>
          <w:rFonts w:cs="黑体" w:asciiTheme="minorEastAsia" w:hAnsiTheme="minorEastAsia"/>
          <w:b/>
          <w:color w:val="000000"/>
          <w:kern w:val="0"/>
          <w:sz w:val="32"/>
          <w:szCs w:val="32"/>
        </w:rPr>
      </w:pPr>
    </w:p>
    <w:p>
      <w:pPr>
        <w:ind w:firstLine="960" w:firstLineChars="300"/>
        <w:rPr>
          <w:rFonts w:cs="宋体" w:asciiTheme="minorEastAsia" w:hAnsiTheme="minorEastAsia"/>
          <w:b/>
          <w:sz w:val="32"/>
          <w:szCs w:val="32"/>
        </w:rPr>
      </w:pPr>
      <w:r>
        <w:rPr>
          <w:rFonts w:hint="eastAsia" w:cs="宋体" w:asciiTheme="minorEastAsia" w:hAnsiTheme="minorEastAsia"/>
          <w:b/>
          <w:sz w:val="32"/>
          <w:szCs w:val="32"/>
        </w:rPr>
        <w:t>一、部门职能职责：</w:t>
      </w:r>
    </w:p>
    <w:p>
      <w:pPr>
        <w:widowControl/>
        <w:spacing w:line="600" w:lineRule="exact"/>
        <w:ind w:firstLine="640" w:firstLineChars="200"/>
        <w:rPr>
          <w:rFonts w:ascii="Times New Roman" w:hAnsi="Times New Roman" w:eastAsia="仿宋_GB2312" w:cs="Times New Roman"/>
          <w:kern w:val="0"/>
          <w:sz w:val="32"/>
          <w:szCs w:val="32"/>
        </w:rPr>
      </w:pPr>
      <w:r>
        <w:rPr>
          <w:rFonts w:hint="eastAsia" w:cs="宋体" w:asciiTheme="minorEastAsia" w:hAnsiTheme="minorEastAsia"/>
          <w:sz w:val="32"/>
          <w:szCs w:val="32"/>
        </w:rPr>
        <w:t>1、</w:t>
      </w:r>
      <w:r>
        <w:rPr>
          <w:rFonts w:hint="eastAsia" w:ascii="Times New Roman" w:hAnsi="Times New Roman" w:eastAsia="仿宋_GB2312" w:cs="Times New Roman"/>
          <w:kern w:val="0"/>
          <w:sz w:val="32"/>
          <w:szCs w:val="32"/>
        </w:rPr>
        <w:t>承担着鹤城区基础设施和重大社会发展项目建设任务，开发经营政府配置给单位的土地资产。</w:t>
      </w:r>
    </w:p>
    <w:p>
      <w:pPr>
        <w:widowControl/>
        <w:spacing w:line="600" w:lineRule="exact"/>
        <w:ind w:firstLine="960" w:firstLineChars="300"/>
        <w:rPr>
          <w:rFonts w:cs="宋体" w:asciiTheme="minorEastAsia" w:hAnsiTheme="minorEastAsia"/>
          <w:sz w:val="32"/>
          <w:szCs w:val="32"/>
        </w:rPr>
      </w:pPr>
      <w:r>
        <w:rPr>
          <w:rFonts w:hint="eastAsia" w:asciiTheme="minorEastAsia" w:hAnsiTheme="minorEastAsia"/>
          <w:bCs/>
          <w:kern w:val="0"/>
          <w:sz w:val="32"/>
          <w:szCs w:val="32"/>
        </w:rPr>
        <w:t>内设机构包括：</w:t>
      </w:r>
      <w:r>
        <w:rPr>
          <w:rFonts w:hint="eastAsia" w:ascii="Times New Roman" w:hAnsi="Times New Roman" w:eastAsia="仿宋_GB2312" w:cs="Times New Roman"/>
          <w:bCs/>
          <w:kern w:val="0"/>
          <w:sz w:val="32"/>
          <w:szCs w:val="32"/>
        </w:rPr>
        <w:t>综合办公室、纪检监察室、人力资源部、财务部、融资部、资产经营部、工程技术部、工程造价部、工程管理部、征地拆迁部共10个职能股室。</w:t>
      </w:r>
    </w:p>
    <w:p>
      <w:pPr>
        <w:numPr>
          <w:ilvl w:val="0"/>
          <w:numId w:val="3"/>
        </w:numPr>
        <w:ind w:firstLine="640" w:firstLineChars="200"/>
        <w:rPr>
          <w:rFonts w:ascii="Times New Roman" w:hAnsi="Times New Roman" w:eastAsia="仿宋_GB2312" w:cs="Times New Roman"/>
          <w:kern w:val="0"/>
          <w:sz w:val="32"/>
          <w:szCs w:val="32"/>
        </w:rPr>
      </w:pPr>
      <w:r>
        <w:rPr>
          <w:rFonts w:hint="eastAsia" w:cs="宋体" w:asciiTheme="minorEastAsia" w:hAnsiTheme="minorEastAsia"/>
          <w:sz w:val="32"/>
          <w:szCs w:val="32"/>
        </w:rPr>
        <w:t>主要工作职责：</w:t>
      </w:r>
      <w:r>
        <w:rPr>
          <w:rFonts w:hint="eastAsia" w:cs="仿宋" w:asciiTheme="minorEastAsia" w:hAnsiTheme="minorEastAsia"/>
          <w:sz w:val="32"/>
          <w:szCs w:val="32"/>
        </w:rPr>
        <w:t>主要工作职责：</w:t>
      </w:r>
      <w:r>
        <w:rPr>
          <w:rFonts w:hint="eastAsia" w:ascii="Times New Roman" w:hAnsi="Times New Roman" w:eastAsia="仿宋_GB2312" w:cs="Times New Roman"/>
          <w:kern w:val="0"/>
          <w:sz w:val="32"/>
          <w:szCs w:val="32"/>
        </w:rPr>
        <w:t>承担着鹤城区基础设施和重大社会发展项目建设任务，开发经营政府配置给单位的土地资产，是鹤城区城市基础设施建设的投融资平台。</w:t>
      </w:r>
    </w:p>
    <w:p>
      <w:pPr>
        <w:numPr>
          <w:ilvl w:val="0"/>
          <w:numId w:val="3"/>
        </w:numPr>
        <w:ind w:firstLine="640" w:firstLineChars="200"/>
        <w:rPr>
          <w:rFonts w:cs="宋体" w:asciiTheme="minorEastAsia" w:hAnsiTheme="minorEastAsia"/>
          <w:sz w:val="32"/>
          <w:szCs w:val="32"/>
        </w:rPr>
      </w:pPr>
      <w:r>
        <w:rPr>
          <w:rFonts w:hint="eastAsia" w:cs="宋体" w:asciiTheme="minorEastAsia" w:hAnsiTheme="minorEastAsia"/>
          <w:sz w:val="32"/>
          <w:szCs w:val="32"/>
        </w:rPr>
        <w:t>编制人员情况:目前现实有在职人员39人。在编人员中，全额事业编制25人（ 鹤城区城市建设投资管理中心 21人、金海技术咨询服务中心2 人、区征地拆迁安置服务中心1人、在坨院街道编制1人）、差额编制2人（金海技术咨询服务中心）、自收自支编制12人（金海技术咨询服务中心）。离退休人员2人(自收自支2人）</w:t>
      </w:r>
    </w:p>
    <w:p>
      <w:pPr>
        <w:numPr>
          <w:ilvl w:val="0"/>
          <w:numId w:val="3"/>
        </w:numPr>
        <w:ind w:firstLine="640" w:firstLineChars="200"/>
        <w:rPr>
          <w:rFonts w:cs="宋体" w:asciiTheme="minorEastAsia" w:hAnsiTheme="minorEastAsia"/>
          <w:b/>
          <w:sz w:val="32"/>
          <w:szCs w:val="32"/>
        </w:rPr>
      </w:pPr>
      <w:r>
        <w:rPr>
          <w:rFonts w:hint="eastAsia" w:cs="宋体" w:asciiTheme="minorEastAsia" w:hAnsiTheme="minorEastAsia"/>
          <w:b/>
          <w:sz w:val="32"/>
          <w:szCs w:val="32"/>
        </w:rPr>
        <w:t>二、部门收支情况：</w:t>
      </w:r>
    </w:p>
    <w:p>
      <w:pPr>
        <w:ind w:firstLine="640" w:firstLineChars="200"/>
        <w:jc w:val="left"/>
        <w:rPr>
          <w:rFonts w:cs="宋体" w:asciiTheme="minorEastAsia" w:hAnsiTheme="minorEastAsia"/>
          <w:sz w:val="32"/>
          <w:szCs w:val="32"/>
        </w:rPr>
      </w:pPr>
      <w:r>
        <w:rPr>
          <w:rFonts w:hint="eastAsia" w:cs="宋体" w:asciiTheme="minorEastAsia" w:hAnsiTheme="minorEastAsia"/>
          <w:sz w:val="32"/>
          <w:szCs w:val="32"/>
        </w:rPr>
        <w:t>1、收入说明：2019年总收入为</w:t>
      </w:r>
      <w:r>
        <w:rPr>
          <w:rFonts w:hint="eastAsia" w:asciiTheme="minorEastAsia" w:hAnsiTheme="minorEastAsia"/>
          <w:sz w:val="32"/>
          <w:szCs w:val="32"/>
        </w:rPr>
        <w:t>42788</w:t>
      </w:r>
      <w:r>
        <w:rPr>
          <w:rFonts w:hint="eastAsia" w:cs="宋体" w:asciiTheme="minorEastAsia" w:hAnsiTheme="minorEastAsia"/>
          <w:sz w:val="32"/>
          <w:szCs w:val="32"/>
        </w:rPr>
        <w:t>万元。</w:t>
      </w:r>
    </w:p>
    <w:p>
      <w:pPr>
        <w:ind w:firstLine="640" w:firstLineChars="200"/>
        <w:jc w:val="left"/>
        <w:rPr>
          <w:rFonts w:cs="宋体" w:asciiTheme="minorEastAsia" w:hAnsiTheme="minorEastAsia"/>
          <w:sz w:val="32"/>
          <w:szCs w:val="32"/>
        </w:rPr>
      </w:pPr>
      <w:r>
        <w:rPr>
          <w:rFonts w:hint="eastAsia" w:cs="宋体" w:asciiTheme="minorEastAsia" w:hAnsiTheme="minorEastAsia"/>
          <w:sz w:val="32"/>
          <w:szCs w:val="32"/>
        </w:rPr>
        <w:t>2、支出说明：2019年总支出为</w:t>
      </w:r>
      <w:r>
        <w:rPr>
          <w:rFonts w:hint="eastAsia" w:asciiTheme="minorEastAsia" w:hAnsiTheme="minorEastAsia"/>
          <w:sz w:val="32"/>
          <w:szCs w:val="32"/>
        </w:rPr>
        <w:t>42788</w:t>
      </w:r>
      <w:r>
        <w:rPr>
          <w:rFonts w:hint="eastAsia" w:cs="宋体" w:asciiTheme="minorEastAsia" w:hAnsiTheme="minorEastAsia"/>
          <w:sz w:val="32"/>
          <w:szCs w:val="32"/>
        </w:rPr>
        <w:t>万元，其中：人员经费支出325万元，日常公用经费17万元，项目支出为</w:t>
      </w:r>
      <w:r>
        <w:rPr>
          <w:rFonts w:hint="eastAsia" w:asciiTheme="minorEastAsia" w:hAnsiTheme="minorEastAsia"/>
          <w:sz w:val="32"/>
          <w:szCs w:val="32"/>
        </w:rPr>
        <w:t>42446</w:t>
      </w:r>
      <w:r>
        <w:rPr>
          <w:rFonts w:hint="eastAsia" w:cs="宋体" w:asciiTheme="minorEastAsia" w:hAnsiTheme="minorEastAsia"/>
          <w:sz w:val="32"/>
          <w:szCs w:val="32"/>
        </w:rPr>
        <w:t>万元。</w:t>
      </w:r>
    </w:p>
    <w:p>
      <w:pPr>
        <w:widowControl/>
        <w:spacing w:line="600" w:lineRule="exact"/>
        <w:ind w:firstLine="640" w:firstLineChars="200"/>
        <w:rPr>
          <w:rFonts w:cs="宋体" w:asciiTheme="minorEastAsia" w:hAnsiTheme="minorEastAsia"/>
          <w:sz w:val="32"/>
          <w:szCs w:val="32"/>
        </w:rPr>
      </w:pPr>
      <w:r>
        <w:rPr>
          <w:rFonts w:hint="eastAsia" w:cs="宋体" w:asciiTheme="minorEastAsia" w:hAnsiTheme="minorEastAsia"/>
          <w:sz w:val="32"/>
          <w:szCs w:val="32"/>
        </w:rPr>
        <w:t>3、“三公”经费说明：“三公”经费总额为12.9万元。与上年决算数相比无变化。</w:t>
      </w:r>
    </w:p>
    <w:p>
      <w:pPr>
        <w:ind w:firstLine="640" w:firstLineChars="200"/>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FAD3A8"/>
    <w:multiLevelType w:val="singleLevel"/>
    <w:tmpl w:val="EFFAD3A8"/>
    <w:lvl w:ilvl="0" w:tentative="0">
      <w:start w:val="2"/>
      <w:numFmt w:val="decimal"/>
      <w:suff w:val="nothing"/>
      <w:lvlText w:val="%1、"/>
      <w:lvlJc w:val="left"/>
    </w:lvl>
  </w:abstractNum>
  <w:abstractNum w:abstractNumId="1">
    <w:nsid w:val="FDCE2499"/>
    <w:multiLevelType w:val="singleLevel"/>
    <w:tmpl w:val="FDCE2499"/>
    <w:lvl w:ilvl="0" w:tentative="0">
      <w:start w:val="1"/>
      <w:numFmt w:val="chineseCounting"/>
      <w:suff w:val="nothing"/>
      <w:lvlText w:val="（%1）"/>
      <w:lvlJc w:val="left"/>
      <w:rPr>
        <w:rFonts w:hint="eastAsia"/>
      </w:rPr>
    </w:lvl>
  </w:abstractNum>
  <w:abstractNum w:abstractNumId="2">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506F9"/>
    <w:rsid w:val="0002229B"/>
    <w:rsid w:val="000273BD"/>
    <w:rsid w:val="000415B7"/>
    <w:rsid w:val="000658A3"/>
    <w:rsid w:val="00074155"/>
    <w:rsid w:val="000A3F69"/>
    <w:rsid w:val="00152C6D"/>
    <w:rsid w:val="00153994"/>
    <w:rsid w:val="00162D39"/>
    <w:rsid w:val="0019322B"/>
    <w:rsid w:val="001A67DB"/>
    <w:rsid w:val="001D51E5"/>
    <w:rsid w:val="001E0CD3"/>
    <w:rsid w:val="001F0C3B"/>
    <w:rsid w:val="001F7749"/>
    <w:rsid w:val="00214427"/>
    <w:rsid w:val="00265724"/>
    <w:rsid w:val="0027426B"/>
    <w:rsid w:val="003479BD"/>
    <w:rsid w:val="003768D5"/>
    <w:rsid w:val="004506F9"/>
    <w:rsid w:val="004717A2"/>
    <w:rsid w:val="00491741"/>
    <w:rsid w:val="00500E5F"/>
    <w:rsid w:val="005122EF"/>
    <w:rsid w:val="00517C33"/>
    <w:rsid w:val="00523644"/>
    <w:rsid w:val="0054069E"/>
    <w:rsid w:val="005767CC"/>
    <w:rsid w:val="00590D9F"/>
    <w:rsid w:val="00595D26"/>
    <w:rsid w:val="005A74E6"/>
    <w:rsid w:val="005D4D55"/>
    <w:rsid w:val="005E2CFB"/>
    <w:rsid w:val="005E5BC8"/>
    <w:rsid w:val="0062378F"/>
    <w:rsid w:val="00651EEC"/>
    <w:rsid w:val="00652413"/>
    <w:rsid w:val="006A351B"/>
    <w:rsid w:val="006B0422"/>
    <w:rsid w:val="006C1B53"/>
    <w:rsid w:val="006D7730"/>
    <w:rsid w:val="006E5284"/>
    <w:rsid w:val="006F3EB5"/>
    <w:rsid w:val="00702E34"/>
    <w:rsid w:val="00704395"/>
    <w:rsid w:val="007136DC"/>
    <w:rsid w:val="00720FF1"/>
    <w:rsid w:val="00812ED5"/>
    <w:rsid w:val="008277D9"/>
    <w:rsid w:val="008A3E8D"/>
    <w:rsid w:val="009237C4"/>
    <w:rsid w:val="00950252"/>
    <w:rsid w:val="00967F5D"/>
    <w:rsid w:val="009A0F95"/>
    <w:rsid w:val="009B3ADF"/>
    <w:rsid w:val="009C3B52"/>
    <w:rsid w:val="00A42218"/>
    <w:rsid w:val="00A70249"/>
    <w:rsid w:val="00AF20F5"/>
    <w:rsid w:val="00B33BEA"/>
    <w:rsid w:val="00B57C9F"/>
    <w:rsid w:val="00B845B3"/>
    <w:rsid w:val="00B85D8B"/>
    <w:rsid w:val="00BC7861"/>
    <w:rsid w:val="00BE3674"/>
    <w:rsid w:val="00C3049A"/>
    <w:rsid w:val="00C31B1E"/>
    <w:rsid w:val="00C77645"/>
    <w:rsid w:val="00CE04C3"/>
    <w:rsid w:val="00CE76A0"/>
    <w:rsid w:val="00D148C6"/>
    <w:rsid w:val="00DD06FF"/>
    <w:rsid w:val="00DD5FE9"/>
    <w:rsid w:val="00E00C7A"/>
    <w:rsid w:val="00E55B68"/>
    <w:rsid w:val="00F74360"/>
    <w:rsid w:val="00FB462F"/>
    <w:rsid w:val="00FE16FA"/>
    <w:rsid w:val="00FE328A"/>
    <w:rsid w:val="0DE14139"/>
    <w:rsid w:val="198A7E44"/>
    <w:rsid w:val="21EC64D5"/>
    <w:rsid w:val="24741383"/>
    <w:rsid w:val="2B2E7EA0"/>
    <w:rsid w:val="37803A43"/>
    <w:rsid w:val="37A861BA"/>
    <w:rsid w:val="38C11111"/>
    <w:rsid w:val="3A9D2E4D"/>
    <w:rsid w:val="4AB339AB"/>
    <w:rsid w:val="547C1EE7"/>
    <w:rsid w:val="5E9A52BF"/>
    <w:rsid w:val="704D703F"/>
    <w:rsid w:val="74530E93"/>
    <w:rsid w:val="76976E33"/>
    <w:rsid w:val="79E62B1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customStyle="1" w:styleId="9">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0">
    <w:name w:val="List Paragraph"/>
    <w:basedOn w:val="1"/>
    <w:qFormat/>
    <w:uiPriority w:val="34"/>
    <w:pPr>
      <w:ind w:firstLine="420" w:firstLineChars="200"/>
    </w:pPr>
  </w:style>
  <w:style w:type="character" w:customStyle="1" w:styleId="11">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CA967F-99A7-44AE-8CB3-A0222E97AF6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629</Words>
  <Characters>3586</Characters>
  <Lines>29</Lines>
  <Paragraphs>8</Paragraphs>
  <TotalTime>6</TotalTime>
  <ScaleCrop>false</ScaleCrop>
  <LinksUpToDate>false</LinksUpToDate>
  <CharactersWithSpaces>4207</CharactersWithSpaces>
  <Application>WPS Office_11.1.0.8869_F1E327BC-269C-435d-A152-05C5408002CA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2021-06-03T07:41:00Z</dcterms:created>
  <dc:creator>李航 null</dc:creator>
  <cp:lastModifiedBy>0</cp:lastModifiedBy>
  <cp:lastPrinted>2020-07-15T07:25:00Z</cp:lastPrinted>
  <dcterms:modified xsi:type="dcterms:W3CDTF">2021-06-05T03:00:12Z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2052-11.1.0.8869</vt:lpwstr>
  </property>
  <property fmtid="{D5CDD505-2E9C-101B-9397-08002B2CF9AE}" pid="3" name="ICV">
    <vt:lpwstr>264C6E9B22814287860E19B933D8E357</vt:lpwstr>
  </property>
</Properties>
</file>