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sz w:val="56"/>
          <w:szCs w:val="56"/>
        </w:rPr>
      </w:pPr>
    </w:p>
    <w:p>
      <w:pPr>
        <w:pStyle w:val="4"/>
        <w:jc w:val="center"/>
        <w:rPr>
          <w:sz w:val="56"/>
          <w:szCs w:val="56"/>
        </w:rPr>
      </w:pPr>
    </w:p>
    <w:p>
      <w:pPr>
        <w:pStyle w:val="4"/>
        <w:jc w:val="center"/>
        <w:rPr>
          <w:sz w:val="84"/>
          <w:szCs w:val="84"/>
        </w:rPr>
      </w:pPr>
    </w:p>
    <w:p>
      <w:pPr>
        <w:pStyle w:val="4"/>
        <w:jc w:val="center"/>
        <w:rPr>
          <w:sz w:val="84"/>
          <w:szCs w:val="84"/>
        </w:rPr>
      </w:pPr>
    </w:p>
    <w:p>
      <w:pPr>
        <w:pStyle w:val="4"/>
        <w:jc w:val="center"/>
        <w:rPr>
          <w:sz w:val="84"/>
          <w:szCs w:val="84"/>
        </w:rPr>
      </w:pPr>
      <w:r>
        <w:rPr>
          <w:rFonts w:hint="eastAsia"/>
          <w:sz w:val="84"/>
          <w:szCs w:val="84"/>
        </w:rPr>
        <w:t>2019年度</w:t>
      </w:r>
    </w:p>
    <w:p>
      <w:pPr>
        <w:pStyle w:val="4"/>
        <w:jc w:val="center"/>
        <w:rPr>
          <w:sz w:val="84"/>
          <w:szCs w:val="84"/>
        </w:rPr>
      </w:pPr>
      <w:r>
        <w:rPr>
          <w:rFonts w:hint="eastAsia"/>
          <w:sz w:val="84"/>
          <w:szCs w:val="84"/>
        </w:rPr>
        <w:t>怀化市鹤城工业集中区管理委员会</w:t>
      </w:r>
    </w:p>
    <w:p>
      <w:pPr>
        <w:pStyle w:val="4"/>
        <w:jc w:val="center"/>
        <w:rPr>
          <w:sz w:val="84"/>
          <w:szCs w:val="84"/>
        </w:rPr>
      </w:pPr>
      <w:r>
        <w:rPr>
          <w:rFonts w:hint="eastAsia"/>
          <w:sz w:val="84"/>
          <w:szCs w:val="84"/>
        </w:rPr>
        <w:t>部门决算</w:t>
      </w:r>
    </w:p>
    <w:p>
      <w:pPr>
        <w:pStyle w:val="4"/>
        <w:jc w:val="both"/>
        <w:rPr>
          <w:sz w:val="56"/>
          <w:szCs w:val="56"/>
        </w:rPr>
      </w:pPr>
    </w:p>
    <w:p>
      <w:pPr>
        <w:pStyle w:val="4"/>
        <w:jc w:val="both"/>
        <w:rPr>
          <w:sz w:val="56"/>
          <w:szCs w:val="56"/>
        </w:rPr>
      </w:pPr>
    </w:p>
    <w:p>
      <w:pPr>
        <w:pStyle w:val="4"/>
        <w:spacing w:line="520" w:lineRule="exact"/>
        <w:jc w:val="center"/>
        <w:rPr>
          <w:sz w:val="56"/>
          <w:szCs w:val="56"/>
        </w:rPr>
      </w:pPr>
      <w:r>
        <w:rPr>
          <w:rFonts w:hint="eastAsia"/>
          <w:sz w:val="56"/>
          <w:szCs w:val="56"/>
        </w:rPr>
        <w:t>目录</w:t>
      </w:r>
    </w:p>
    <w:p>
      <w:pPr>
        <w:pStyle w:val="4"/>
        <w:spacing w:line="520" w:lineRule="exact"/>
        <w:rPr>
          <w:rFonts w:ascii="仿宋_GB2312" w:hAnsi="仿宋_GB2312" w:cs="仿宋_GB2312"/>
          <w:b/>
          <w:sz w:val="28"/>
          <w:szCs w:val="28"/>
        </w:rPr>
      </w:pPr>
      <w:r>
        <w:rPr>
          <w:rFonts w:hint="eastAsia"/>
          <w:b/>
          <w:sz w:val="28"/>
          <w:szCs w:val="28"/>
        </w:rPr>
        <w:t>第一部分 区工业园单位概况</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4"/>
        <w:spacing w:line="52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2019</w:t>
      </w:r>
      <w:r>
        <w:rPr>
          <w:rFonts w:hint="eastAsia" w:hAnsi="仿宋_GB2312"/>
          <w:b/>
          <w:sz w:val="28"/>
          <w:szCs w:val="28"/>
        </w:rPr>
        <w:t>年度部门决算表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4"/>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4"/>
        <w:jc w:val="center"/>
        <w:rPr>
          <w:sz w:val="84"/>
          <w:szCs w:val="84"/>
        </w:rPr>
      </w:pPr>
      <w:r>
        <w:rPr>
          <w:rFonts w:hint="eastAsia"/>
          <w:sz w:val="84"/>
          <w:szCs w:val="84"/>
        </w:rPr>
        <w:t>第一部分</w:t>
      </w:r>
    </w:p>
    <w:p>
      <w:pPr>
        <w:pStyle w:val="4"/>
        <w:jc w:val="center"/>
        <w:rPr>
          <w:sz w:val="84"/>
          <w:szCs w:val="84"/>
        </w:rPr>
      </w:pPr>
    </w:p>
    <w:p>
      <w:pPr>
        <w:pStyle w:val="4"/>
        <w:jc w:val="center"/>
        <w:rPr>
          <w:sz w:val="84"/>
          <w:szCs w:val="84"/>
        </w:rPr>
      </w:pPr>
      <w:r>
        <w:rPr>
          <w:rFonts w:hint="eastAsia"/>
          <w:sz w:val="84"/>
          <w:szCs w:val="84"/>
        </w:rPr>
        <w:t>怀化市鹤城工业集中区管理委员会</w:t>
      </w:r>
    </w:p>
    <w:p>
      <w:pPr>
        <w:pStyle w:val="4"/>
        <w:jc w:val="center"/>
        <w:rPr>
          <w:sz w:val="84"/>
          <w:szCs w:val="84"/>
        </w:rPr>
      </w:pPr>
      <w:r>
        <w:rPr>
          <w:rFonts w:hint="eastAsia"/>
          <w:sz w:val="84"/>
          <w:szCs w:val="84"/>
        </w:rPr>
        <w:t>单位概况</w:t>
      </w:r>
    </w:p>
    <w:p>
      <w:pPr>
        <w:jc w:val="center"/>
        <w:rPr>
          <w:sz w:val="72"/>
          <w:szCs w:val="72"/>
        </w:rPr>
      </w:pPr>
    </w:p>
    <w:p>
      <w:pPr>
        <w:jc w:val="center"/>
        <w:rPr>
          <w:sz w:val="72"/>
          <w:szCs w:val="72"/>
        </w:rPr>
      </w:pPr>
    </w:p>
    <w:p>
      <w:pPr>
        <w:pStyle w:val="5"/>
        <w:ind w:firstLine="0" w:firstLineChars="0"/>
        <w:jc w:val="left"/>
        <w:rPr>
          <w:rFonts w:ascii="黑体" w:hAnsi="黑体" w:eastAsia="黑体"/>
          <w:sz w:val="32"/>
          <w:szCs w:val="32"/>
        </w:rPr>
      </w:pPr>
    </w:p>
    <w:p>
      <w:pPr>
        <w:pStyle w:val="5"/>
        <w:ind w:firstLine="0" w:firstLineChars="0"/>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pStyle w:val="4"/>
        <w:rPr>
          <w:sz w:val="84"/>
          <w:szCs w:val="84"/>
        </w:rPr>
      </w:pPr>
      <w:r>
        <w:rPr>
          <w:rFonts w:hint="eastAsia" w:asciiTheme="minorEastAsia" w:hAnsiTheme="minorEastAsia"/>
          <w:sz w:val="32"/>
          <w:szCs w:val="32"/>
        </w:rPr>
        <w:t>（一）</w:t>
      </w:r>
      <w:r>
        <w:rPr>
          <w:rFonts w:hint="eastAsia" w:asciiTheme="minorEastAsia" w:hAnsiTheme="minorEastAsia" w:eastAsiaTheme="minorEastAsia" w:cstheme="minorBidi"/>
          <w:bCs/>
          <w:color w:val="auto"/>
          <w:sz w:val="32"/>
          <w:szCs w:val="32"/>
        </w:rPr>
        <w:t>怀化市鹤城工业集中区管理委员会</w:t>
      </w:r>
      <w:r>
        <w:rPr>
          <w:rFonts w:hint="eastAsia" w:cs="仿宋" w:asciiTheme="minorEastAsia" w:hAnsiTheme="minorEastAsia"/>
          <w:sz w:val="30"/>
          <w:szCs w:val="30"/>
        </w:rPr>
        <w:t>是全额拨款的事业单位。</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二）主要工作职责：1、贯彻执行国家、省、市有关法律、法规和政策，执行区政府的有关规定、命令。2、负责拟定工业集中区发展规划、产业政策和优惠政策，以及各项具体管理办法、服务工作规定等，经区委、区政府批准后组织实施。3、负责管理、协调工业集中区内涉及规划、建设、环保、国土等行政职能部门的相关工作；管理协调入驻企业项目建设，在区委、区政府的授权下承担工业集中区内各项基础设施、公用设施及建设项目的管理责任，组织实施工业集中区内基础设施及公共设施的建设管理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4、负责工业集中区内的企业指导、协调和各项服务工作，协助相关部门做好企业管理和行业管理。</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5、负责工业集中区内的对外宣传、招商引资工作。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6、负责工业集中区内的法制宣传工作，组织协调有关部门开展行政综合执法，查处违法行为。</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7、负责制定工业集中区管理规定并组织实施；负责工业集中区的内部管理、统计报表及各种数据资料的上报工作。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8、负责协调工业集中区内的财税、国有资产。</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9、负责工业集中区社会治安和安全生产等管理工作。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10、行使区政府和有关职能部门依法授予的其它职能。</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11、承办区委、区政府交办的其它事项。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（一）内设机构设置。怀化市鹤城工业集中区管理委员会内设机构包括：四个职能股室：办公室、经济发展服务股、规划建设股、财务股。</w:t>
      </w:r>
    </w:p>
    <w:p>
      <w:pPr>
        <w:widowControl/>
        <w:spacing w:line="600" w:lineRule="exact"/>
        <w:rPr>
          <w:rFonts w:eastAsia="仿宋_GB2312" w:asciiTheme="minorEastAsia" w:hAnsiTheme="minorEastAsia"/>
          <w:bCs/>
          <w:kern w:val="0"/>
          <w:sz w:val="32"/>
          <w:szCs w:val="32"/>
        </w:rPr>
      </w:pPr>
      <w:r>
        <w:rPr>
          <w:rFonts w:hint="eastAsia" w:asciiTheme="minorEastAsia" w:hAnsiTheme="minorEastAsia"/>
          <w:bCs/>
          <w:kern w:val="0"/>
          <w:sz w:val="32"/>
          <w:szCs w:val="32"/>
        </w:rPr>
        <w:t>（二）决算单位构成。怀化市鹤城工业集中区管理委员会</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年部门决算汇总公开单位构成为本单位。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4"/>
        <w:rPr>
          <w:sz w:val="72"/>
          <w:szCs w:val="72"/>
        </w:rPr>
        <w:sectPr>
          <w:pgSz w:w="16838" w:h="11906" w:orient="landscape"/>
          <w:pgMar w:top="720" w:right="720" w:bottom="720" w:left="720" w:header="851" w:footer="992" w:gutter="0"/>
          <w:cols w:space="425" w:num="1"/>
          <w:docGrid w:type="lines" w:linePitch="312" w:charSpace="0"/>
        </w:sectPr>
      </w:pPr>
    </w:p>
    <w:p>
      <w:pPr>
        <w:pStyle w:val="4"/>
        <w:rPr>
          <w:sz w:val="72"/>
          <w:szCs w:val="72"/>
        </w:rPr>
      </w:pPr>
    </w:p>
    <w:p>
      <w:pPr>
        <w:pStyle w:val="4"/>
        <w:rPr>
          <w:sz w:val="72"/>
          <w:szCs w:val="72"/>
        </w:rPr>
      </w:pPr>
    </w:p>
    <w:p>
      <w:pPr>
        <w:pStyle w:val="4"/>
        <w:rPr>
          <w:sz w:val="72"/>
          <w:szCs w:val="72"/>
        </w:rPr>
      </w:pPr>
    </w:p>
    <w:p>
      <w:pPr>
        <w:pStyle w:val="4"/>
        <w:jc w:val="center"/>
        <w:rPr>
          <w:sz w:val="72"/>
          <w:szCs w:val="72"/>
        </w:rPr>
      </w:pPr>
    </w:p>
    <w:p>
      <w:pPr>
        <w:pStyle w:val="4"/>
        <w:jc w:val="center"/>
        <w:rPr>
          <w:sz w:val="72"/>
          <w:szCs w:val="72"/>
        </w:rPr>
      </w:pPr>
    </w:p>
    <w:p>
      <w:pPr>
        <w:pStyle w:val="4"/>
        <w:jc w:val="center"/>
        <w:rPr>
          <w:sz w:val="72"/>
          <w:szCs w:val="72"/>
        </w:rPr>
      </w:pPr>
      <w:r>
        <w:rPr>
          <w:rFonts w:hint="eastAsia"/>
          <w:sz w:val="72"/>
          <w:szCs w:val="72"/>
        </w:rPr>
        <w:t>第三部分</w:t>
      </w:r>
    </w:p>
    <w:p>
      <w:pPr>
        <w:pStyle w:val="4"/>
        <w:jc w:val="center"/>
        <w:rPr>
          <w:sz w:val="70"/>
          <w:szCs w:val="70"/>
        </w:rPr>
      </w:pPr>
    </w:p>
    <w:p>
      <w:pPr>
        <w:pStyle w:val="4"/>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4"/>
        <w:rPr>
          <w:rFonts w:asciiTheme="minorEastAsia" w:hAnsiTheme="minorEastAsia" w:eastAsiaTheme="minorEastAsia"/>
          <w:sz w:val="32"/>
          <w:szCs w:val="32"/>
        </w:rPr>
      </w:pPr>
    </w:p>
    <w:p>
      <w:pPr>
        <w:pStyle w:val="4"/>
        <w:rPr>
          <w:rFonts w:hAnsi="黑体"/>
          <w:b/>
          <w:sz w:val="32"/>
          <w:szCs w:val="32"/>
        </w:rPr>
      </w:pPr>
      <w:r>
        <w:rPr>
          <w:rFonts w:hint="eastAsia" w:hAnsi="黑体"/>
          <w:b/>
          <w:sz w:val="32"/>
          <w:szCs w:val="32"/>
        </w:rPr>
        <w:t>一、收入支出决算总体情况说明</w:t>
      </w:r>
    </w:p>
    <w:p>
      <w:pPr>
        <w:pStyle w:val="4"/>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2019年度收入3051.07万元，与2018年相比，减少1235.62万元，减少28%，主要是因为大部分预算资金未到位。2019 年度支出3051.07万元，与2018年相比，减少1235.62万元，减少28%，主要是因为收入减少</w:t>
      </w:r>
      <w:r>
        <w:rPr>
          <w:rFonts w:hint="eastAsia" w:asciiTheme="minorEastAsia" w:hAnsiTheme="minorEastAsia" w:eastAsiaTheme="minorEastAsia"/>
          <w:color w:val="auto"/>
          <w:sz w:val="32"/>
          <w:szCs w:val="32"/>
          <w:lang w:eastAsia="zh-CN"/>
        </w:rPr>
        <w:t>，减少项目及人员经费开支</w:t>
      </w:r>
      <w:r>
        <w:rPr>
          <w:rFonts w:hint="eastAsia" w:asciiTheme="minorEastAsia" w:hAnsiTheme="minorEastAsia" w:eastAsiaTheme="minorEastAsia"/>
          <w:color w:val="auto"/>
          <w:sz w:val="32"/>
          <w:szCs w:val="32"/>
        </w:rPr>
        <w:t>。</w:t>
      </w:r>
    </w:p>
    <w:p>
      <w:pPr>
        <w:pStyle w:val="4"/>
        <w:rPr>
          <w:rFonts w:hAnsi="黑体"/>
          <w:b/>
          <w:sz w:val="32"/>
          <w:szCs w:val="32"/>
        </w:rPr>
      </w:pPr>
      <w:r>
        <w:rPr>
          <w:rFonts w:hint="eastAsia" w:hAnsi="黑体"/>
          <w:b/>
          <w:sz w:val="32"/>
          <w:szCs w:val="32"/>
        </w:rPr>
        <w:t>二、收入决算情况说明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本年收入合计3051.07万元，其中：财政拨款收入3051.07万元，占100%；上级补助收入0万元，占0%；事业收入0万元，占0%；经营收入0万元，占0%；附属单位上缴收入0万元，占0%；其他收入0万元，占0%。</w:t>
      </w:r>
    </w:p>
    <w:p>
      <w:pPr>
        <w:pStyle w:val="4"/>
        <w:rPr>
          <w:rFonts w:hAnsi="黑体"/>
          <w:b/>
          <w:sz w:val="32"/>
          <w:szCs w:val="32"/>
        </w:rPr>
      </w:pPr>
      <w:r>
        <w:rPr>
          <w:rFonts w:hint="eastAsia" w:hAnsi="黑体"/>
          <w:b/>
          <w:sz w:val="32"/>
          <w:szCs w:val="32"/>
        </w:rPr>
        <w:t>三、支出决算情况说明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本年支出合计3051.07万元，其中：基本支出100.42万元，占3.3%；项目支出2950.65万元，占96.7%；上缴上级支出0万元，占0%；经营支出0万元，占0%；对附属单位补助支出0万元，占0%。</w:t>
      </w:r>
    </w:p>
    <w:p>
      <w:pPr>
        <w:pStyle w:val="4"/>
        <w:numPr>
          <w:ilvl w:val="0"/>
          <w:numId w:val="1"/>
        </w:numPr>
        <w:rPr>
          <w:rFonts w:hAnsi="黑体"/>
          <w:b/>
          <w:sz w:val="32"/>
          <w:szCs w:val="32"/>
        </w:rPr>
      </w:pPr>
      <w:r>
        <w:rPr>
          <w:rFonts w:hint="eastAsia" w:hAnsi="黑体"/>
          <w:b/>
          <w:sz w:val="32"/>
          <w:szCs w:val="32"/>
        </w:rPr>
        <w:t>财政拨款收入支出决算总体情况说明</w:t>
      </w:r>
    </w:p>
    <w:p>
      <w:pPr>
        <w:pStyle w:val="4"/>
        <w:ind w:left="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2019年度财政拨款收入3051.07万元，与2018年相比，减少1235.62万元，减少28%，主要是因为大部分预算资金未到位。2019 年度财政拨款支出3051.07万元，与2018年相比，减少1235.62万元，减少28%，主要是因为收入减少。</w:t>
      </w:r>
    </w:p>
    <w:p>
      <w:pPr>
        <w:pStyle w:val="4"/>
        <w:rPr>
          <w:rFonts w:hAnsi="黑体"/>
          <w:b/>
          <w:sz w:val="32"/>
          <w:szCs w:val="32"/>
        </w:rPr>
      </w:pPr>
      <w:r>
        <w:rPr>
          <w:rFonts w:hint="eastAsia" w:hAnsi="黑体"/>
          <w:b/>
          <w:sz w:val="32"/>
          <w:szCs w:val="32"/>
        </w:rPr>
        <w:t>五、一般公共预算财政拨款支出决算情况说明</w:t>
      </w:r>
    </w:p>
    <w:p>
      <w:pPr>
        <w:pStyle w:val="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2019年度财政拨款支出3051.07万元，占本年支出合计的100%，与2018年相比，财政拨款支出减少1235.62万元，减少28%，</w:t>
      </w:r>
      <w:r>
        <w:rPr>
          <w:rFonts w:hint="eastAsia" w:asciiTheme="minorEastAsia" w:hAnsiTheme="minorEastAsia" w:eastAsiaTheme="minorEastAsia"/>
          <w:color w:val="auto"/>
          <w:sz w:val="32"/>
          <w:szCs w:val="32"/>
        </w:rPr>
        <w:t>主要是因为收入减少</w:t>
      </w:r>
      <w:r>
        <w:rPr>
          <w:rFonts w:hint="eastAsia" w:asciiTheme="minorEastAsia" w:hAnsiTheme="minorEastAsia" w:eastAsiaTheme="minorEastAsia"/>
          <w:sz w:val="32"/>
          <w:szCs w:val="32"/>
        </w:rPr>
        <w:t>。</w:t>
      </w:r>
    </w:p>
    <w:p>
      <w:pPr>
        <w:pStyle w:val="4"/>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2019年度财政拨款支出3051.07万元，主要用于以下方面：一般公共服务（类）支出</w:t>
      </w:r>
      <w:r>
        <w:rPr>
          <w:rFonts w:hint="eastAsia"/>
          <w:sz w:val="32"/>
          <w:szCs w:val="32"/>
        </w:rPr>
        <w:t>1912.32</w:t>
      </w:r>
      <w:r>
        <w:rPr>
          <w:rFonts w:hint="eastAsia" w:asciiTheme="minorEastAsia" w:hAnsiTheme="minorEastAsia" w:eastAsiaTheme="minorEastAsia"/>
          <w:sz w:val="32"/>
          <w:szCs w:val="32"/>
        </w:rPr>
        <w:t>万元，占63%；政府性基金支出1138.75万元占37%；</w:t>
      </w:r>
    </w:p>
    <w:p>
      <w:pPr>
        <w:pStyle w:val="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w:t>
      </w:r>
      <w:r>
        <w:rPr>
          <w:rFonts w:hint="eastAsia"/>
          <w:sz w:val="32"/>
          <w:szCs w:val="32"/>
        </w:rPr>
        <w:t>22436.40</w:t>
      </w:r>
      <w:r>
        <w:rPr>
          <w:rFonts w:hint="eastAsia" w:asciiTheme="minorEastAsia" w:hAnsiTheme="minorEastAsia" w:eastAsiaTheme="minorEastAsia"/>
          <w:sz w:val="32"/>
          <w:szCs w:val="32"/>
        </w:rPr>
        <w:t>万元，支出决算数为</w:t>
      </w:r>
      <w:r>
        <w:rPr>
          <w:rFonts w:hint="eastAsia"/>
          <w:sz w:val="32"/>
          <w:szCs w:val="32"/>
        </w:rPr>
        <w:t>3051.07</w:t>
      </w:r>
      <w:r>
        <w:rPr>
          <w:rFonts w:hint="eastAsia" w:asciiTheme="minorEastAsia" w:hAnsiTheme="minorEastAsia" w:eastAsiaTheme="minorEastAsia"/>
          <w:sz w:val="32"/>
          <w:szCs w:val="32"/>
        </w:rPr>
        <w:t>万元，完成年初预算的0.14%，其中：</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1、公共安全支出：其他公共安全支出204（类）99（款）01（项）。</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sz w:val="32"/>
          <w:szCs w:val="32"/>
        </w:rPr>
        <w:t>0</w:t>
      </w:r>
      <w:r>
        <w:rPr>
          <w:rFonts w:hint="eastAsia" w:asciiTheme="minorEastAsia" w:hAnsiTheme="minorEastAsia" w:eastAsiaTheme="minorEastAsia"/>
          <w:sz w:val="32"/>
          <w:szCs w:val="32"/>
        </w:rPr>
        <w:t>万元，支出决算为</w:t>
      </w:r>
      <w:r>
        <w:rPr>
          <w:rFonts w:hint="eastAsia"/>
          <w:sz w:val="32"/>
          <w:szCs w:val="32"/>
        </w:rPr>
        <w:t>1.1</w:t>
      </w:r>
      <w:r>
        <w:rPr>
          <w:rFonts w:hint="eastAsia" w:asciiTheme="minorEastAsia" w:hAnsiTheme="minorEastAsia" w:eastAsiaTheme="minorEastAsia"/>
          <w:sz w:val="32"/>
          <w:szCs w:val="32"/>
        </w:rPr>
        <w:t>万元，完成年初预算的110%，决算数大于年初预算数的主要原因是：本年度发生综合治理巡逻，而年初未纳入预算。</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2、社会保障和就业支出：机关事业单位基本养老保险缴费支出208（类）05（款）05（项）</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年初预算为9.56万元，支出决算为5.34万元，完成年初预算的56%，决算数小于年初预算数的主要原因是：社保基数调整，人员变动。</w:t>
      </w:r>
    </w:p>
    <w:p>
      <w:pPr>
        <w:pStyle w:val="4"/>
        <w:numPr>
          <w:ilvl w:val="0"/>
          <w:numId w:val="2"/>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卫生健康支出：事业单位医疗210（类）11（款）02（项）。</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年初预算为3.82万元，支出决算为 0.88万元，完成年初预算的23%，决算数小于年初预算数的主要原因是：医保基数调整，人员变动。</w:t>
      </w:r>
    </w:p>
    <w:p>
      <w:pPr>
        <w:pStyle w:val="4"/>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城乡社区支出：国有土地使用权出让收入征地和拆迁补偿支出212（类）08（款）01（项）</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年初预算为6500万元，支出决算为1138.75万元，完成年初预算的18%，决算数小于年初预算数的主要原因是：年初预算的五宗土地均未招牌挂。</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5、资源勘探信息等支出：其他支持中小企业发展和管理支出215（类）08（款）99（项）</w:t>
      </w:r>
    </w:p>
    <w:p>
      <w:pPr>
        <w:pStyle w:val="4"/>
        <w:ind w:left="420" w:left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年初预算为15917.28万元，支出决算为1897.4万元，完成年初预算的12%，决算数小于年初预算数的主要原因是：</w:t>
      </w:r>
      <w:r>
        <w:rPr>
          <w:rFonts w:hint="eastAsia" w:asciiTheme="minorEastAsia" w:hAnsiTheme="minorEastAsia" w:eastAsiaTheme="minorEastAsia"/>
          <w:color w:val="auto"/>
          <w:sz w:val="32"/>
          <w:szCs w:val="32"/>
        </w:rPr>
        <w:t>主要是因为收入减少</w:t>
      </w:r>
      <w:r>
        <w:rPr>
          <w:rFonts w:hint="eastAsia" w:asciiTheme="minorEastAsia" w:hAnsiTheme="minorEastAsia" w:eastAsiaTheme="minorEastAsia"/>
          <w:sz w:val="32"/>
          <w:szCs w:val="32"/>
        </w:rPr>
        <w:t>。</w:t>
      </w:r>
    </w:p>
    <w:p>
      <w:pPr>
        <w:pStyle w:val="4"/>
        <w:ind w:left="420" w:leftChars="200"/>
        <w:rPr>
          <w:rFonts w:asciiTheme="minorEastAsia" w:hAnsiTheme="minorEastAsia" w:eastAsiaTheme="minorEastAsia"/>
          <w:sz w:val="32"/>
          <w:szCs w:val="32"/>
        </w:rPr>
      </w:pPr>
      <w:r>
        <w:rPr>
          <w:rFonts w:hint="eastAsia" w:asciiTheme="minorEastAsia" w:hAnsiTheme="minorEastAsia" w:eastAsiaTheme="minorEastAsia"/>
          <w:sz w:val="32"/>
          <w:szCs w:val="32"/>
        </w:rPr>
        <w:t>6、住房保障支出：住房公积金221（类）02（款）01（项）</w:t>
      </w:r>
    </w:p>
    <w:p>
      <w:pPr>
        <w:pStyle w:val="4"/>
        <w:ind w:left="420" w:left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年初预算为5.74万元，支出决算为5.27万元，完成年初预算92%，决算数小于年初预算数的主要原因是：基数调整，人员变动。</w:t>
      </w:r>
    </w:p>
    <w:p>
      <w:pPr>
        <w:pStyle w:val="4"/>
        <w:ind w:left="420" w:leftChars="200"/>
        <w:rPr>
          <w:rFonts w:asciiTheme="minorEastAsia" w:hAnsiTheme="minorEastAsia" w:eastAsiaTheme="minorEastAsia"/>
          <w:sz w:val="32"/>
          <w:szCs w:val="32"/>
        </w:rPr>
      </w:pPr>
    </w:p>
    <w:p>
      <w:pPr>
        <w:pStyle w:val="4"/>
        <w:ind w:left="420" w:leftChars="200"/>
        <w:rPr>
          <w:rFonts w:hAnsi="黑体"/>
          <w:b/>
          <w:sz w:val="32"/>
          <w:szCs w:val="32"/>
        </w:rPr>
      </w:pPr>
      <w:r>
        <w:rPr>
          <w:rFonts w:hint="eastAsia" w:hAnsi="黑体"/>
          <w:b/>
          <w:sz w:val="32"/>
          <w:szCs w:val="32"/>
        </w:rPr>
        <w:t>六、一般公共预算财政拨款基本支出决算情况说明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2019年度财政拨款基本支出100.4</w:t>
      </w:r>
      <w:r>
        <w:rPr>
          <w:rFonts w:hint="eastAsia" w:asciiTheme="minorEastAsia" w:hAnsiTheme="minorEastAsia" w:eastAsiaTheme="minorEastAsia"/>
          <w:sz w:val="32"/>
          <w:szCs w:val="32"/>
          <w:lang w:val="en-US" w:eastAsia="zh-CN"/>
        </w:rPr>
        <w:t>3</w:t>
      </w:r>
      <w:bookmarkStart w:id="0" w:name="_GoBack"/>
      <w:bookmarkEnd w:id="0"/>
      <w:r>
        <w:rPr>
          <w:rFonts w:hint="eastAsia" w:asciiTheme="minorEastAsia" w:hAnsiTheme="minorEastAsia" w:eastAsiaTheme="minorEastAsia"/>
          <w:sz w:val="32"/>
          <w:szCs w:val="32"/>
        </w:rPr>
        <w:t>万元，其中：人员经费93.22万元，占基本支出的92.8%,主要包括基本工资、津贴补贴、奖金、伙食补助费、绩效工资、机关事业单位基本养老保险缴费、职业年金缴费、职工基本医疗保险缴费、住房公积金；公用经费7.2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万元，占基本支出的7.2%，主要包括办公费、印刷费、咨询费、手续费、水费、电费、差旅费。</w:t>
      </w:r>
    </w:p>
    <w:p>
      <w:pPr>
        <w:pStyle w:val="4"/>
        <w:rPr>
          <w:rFonts w:hAnsi="黑体"/>
          <w:b/>
          <w:sz w:val="32"/>
          <w:szCs w:val="32"/>
        </w:rPr>
      </w:pPr>
      <w:r>
        <w:rPr>
          <w:rFonts w:hint="eastAsia" w:hAnsi="黑体"/>
          <w:b/>
          <w:sz w:val="32"/>
          <w:szCs w:val="32"/>
        </w:rPr>
        <w:t>七、一般公共预算财政拨款三公经费支出决算情况说明</w:t>
      </w:r>
    </w:p>
    <w:p>
      <w:pPr>
        <w:pStyle w:val="4"/>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“三公”经费财政拨款支出预算为1.31万元，支出决算为1.31万元，完成预算的100%，其中：</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因公出国（境）费支出预算为0万元，支出决算为0万元，完成预算的0%，决算数与年初预算数持平。</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公务接待费支出预算为1.18万元，支出决算为1.18万元，完成预算的100%，决算数与年初预算数持平，与上年相比增加1.18万元，增长100%,增长主要原因是为加大招商引资力度，增加了公务接待。</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公务用车购置费及运行维护费支出预算为0.13万元，支出决算为</w:t>
      </w:r>
      <w:r>
        <w:rPr>
          <w:rFonts w:asciiTheme="minorEastAsia" w:hAnsiTheme="minorEastAsia" w:eastAsiaTheme="minorEastAsia"/>
          <w:sz w:val="32"/>
          <w:szCs w:val="32"/>
        </w:rPr>
        <w:t>0.13</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%，决算数与年初预算数持平。与上年相比增加0.13万元，增长100%,增长的主要原因是招商引资公务用车日常维护费。</w:t>
      </w:r>
    </w:p>
    <w:p>
      <w:pPr>
        <w:pStyle w:val="4"/>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2019年度“三公”经费财政拨款支出决算中，公务接待费支出决算1.18万元，占91%,因公出国（境）费支出决算0万元，占0%,公务用车购置费及运行维护费支出决算0.13万元，占9%。其中：</w:t>
      </w:r>
    </w:p>
    <w:p>
      <w:pPr>
        <w:pStyle w:val="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1、因公出国（境）费支出决算为0万元，全年安排因公出国（境）团组0个，累计0人0次。</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1.18万元，全年共接待来访团组6个、来宾105人次，主要是：长江精工三次、浙江绿筑三次、致诚鑫纸箱包装有限公司、品胜达电子科技、云箭集团、湖南民咨咨询有限公司、广州丰屹金属制品有限公司洽谈合作事宜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3、公务用车购置费及运行维护费支出决算为0.13万元，其中：公务用车购置费0万元，无二级机构（单位本级或某二级机构）更新公务用车0辆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公务用车运行维护费0.13万元，主要是公务用车维护支出，截止2019年12月31日，我单位开支财政拨款的公务用车保有量为1辆。</w:t>
      </w:r>
    </w:p>
    <w:p>
      <w:pPr>
        <w:pStyle w:val="4"/>
        <w:rPr>
          <w:rFonts w:hAnsi="黑体"/>
          <w:b/>
          <w:sz w:val="32"/>
          <w:szCs w:val="32"/>
        </w:rPr>
      </w:pPr>
      <w:r>
        <w:rPr>
          <w:rFonts w:hint="eastAsia" w:hAnsi="黑体"/>
          <w:b/>
          <w:sz w:val="32"/>
          <w:szCs w:val="32"/>
        </w:rPr>
        <w:t>八、政府性基金预算收入支出决算情况</w:t>
      </w:r>
    </w:p>
    <w:p>
      <w:pPr>
        <w:pStyle w:val="4"/>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2019年度政府性基金预算财政拨款收入1138.75万元；年初结转和结余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万元；支出1138.75万元，其中基本支出0万元，项目支出1138.75万元；年末结转和结余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4"/>
        <w:rPr>
          <w:rFonts w:hAnsi="黑体"/>
          <w:b/>
          <w:sz w:val="32"/>
          <w:szCs w:val="32"/>
        </w:rPr>
      </w:pPr>
      <w:r>
        <w:rPr>
          <w:rFonts w:hint="eastAsia" w:hAnsi="黑体"/>
          <w:b/>
          <w:sz w:val="32"/>
          <w:szCs w:val="32"/>
        </w:rPr>
        <w:t>九、关于2019年度预算绩效情况说明</w:t>
      </w:r>
    </w:p>
    <w:p>
      <w:pPr>
        <w:pStyle w:val="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部门预算绩效管理开展情况、绩效目标和绩效评价报告附后</w:t>
      </w:r>
    </w:p>
    <w:p>
      <w:pPr>
        <w:pStyle w:val="4"/>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autoSpaceDE w:val="0"/>
        <w:autoSpaceDN w:val="0"/>
        <w:adjustRightInd w:val="0"/>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本部门2019年度机关运行经费支出0万元</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机关运行经费是行政或参公才有，事业单位无此一说。</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2019年本部门开支会议费0万元，人数0人；开支培训费0万元，人数0人。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378.54万元，其中：政府采购货物支出119.68万元、政府采购工程支出258.86万元、政府采购服务支出0万元。授予中小企业合同金额258.86万元，占政府采购支出总额的68%，其中：授予小微企业合同金额119.68万元，占政府采购支出总额的32%。</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1辆，其中，领导干部用车0辆、机要通信用车0辆、应急保障用车0辆、执法执勤用车0辆、特种专业技术用车0辆、其他用车1辆，其他用车主要是招商引资带客商看厂房；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5"/>
        <w:ind w:firstLine="0" w:firstLineChars="0"/>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pStyle w:val="4"/>
        <w:rPr>
          <w:sz w:val="84"/>
          <w:szCs w:val="84"/>
        </w:rPr>
      </w:pPr>
      <w:r>
        <w:rPr>
          <w:rFonts w:hint="eastAsia" w:asciiTheme="minorEastAsia" w:hAnsiTheme="minorEastAsia"/>
          <w:sz w:val="32"/>
          <w:szCs w:val="32"/>
        </w:rPr>
        <w:t>（一）</w:t>
      </w:r>
      <w:r>
        <w:rPr>
          <w:rFonts w:hint="eastAsia" w:asciiTheme="minorEastAsia" w:hAnsiTheme="minorEastAsia" w:eastAsiaTheme="minorEastAsia" w:cstheme="minorBidi"/>
          <w:bCs/>
          <w:color w:val="auto"/>
          <w:sz w:val="32"/>
          <w:szCs w:val="32"/>
        </w:rPr>
        <w:t>怀化市鹤城工业集中区管理委员会</w:t>
      </w:r>
      <w:r>
        <w:rPr>
          <w:rFonts w:hint="eastAsia" w:cs="仿宋" w:asciiTheme="minorEastAsia" w:hAnsiTheme="minorEastAsia"/>
          <w:sz w:val="30"/>
          <w:szCs w:val="30"/>
        </w:rPr>
        <w:t>是全额拨款的事业单位。</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二）主要工作职责：1、贯彻执行国家、省、市有关法律、法规和政策，执行区政府的有关规定、命令。2、负责拟定工业集中区发展规划、产业政策和优惠政策，以及各项具体管理办法、服务工作规定等，经区委、区政府批准后组织实施。3、负责管理、协调工业集中区内涉及规划、建设、环保、国土等行政职能部门的相关工作；管理协调入驻企业项目建设，在区委、区政府的授权下承担工业集中区内各项基础设施、公用设施及建设项目的管理责任，组织实施工业集中区内基础设施及公共设施的建设管理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4、负责工业集中区内的企业指导、协调和各项服务工作，协助相关部门做好企业管理和行业管理。</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5、负责工业集中区内的对外宣传、招商引资工作。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6、负责工业集中区内的法制宣传工作，组织协调有关部门开展行政综合执法，查处违法行为。</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7、负责制定工业集中区管理规定并组织实施；负责工业集中区的内部管理、统计报表及各种数据资料的上报工作。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8、负责协调工业集中区内的财税、国有资产。</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9、负责工业集中区社会治安和安全生产等管理工作。</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10、行使区政府和有关职能部门依法授予的其它职能。</w:t>
      </w:r>
    </w:p>
    <w:p>
      <w:pPr>
        <w:widowControl/>
        <w:spacing w:line="600" w:lineRule="exact"/>
        <w:rPr>
          <w:rFonts w:cs="仿宋" w:asciiTheme="minorEastAsia" w:hAnsiTheme="minorEastAsia"/>
          <w:sz w:val="32"/>
          <w:szCs w:val="32"/>
        </w:rPr>
      </w:pPr>
      <w:r>
        <w:rPr>
          <w:rFonts w:hint="eastAsia" w:cs="仿宋" w:asciiTheme="minorEastAsia" w:hAnsiTheme="minorEastAsia"/>
          <w:sz w:val="32"/>
          <w:szCs w:val="32"/>
        </w:rPr>
        <w:t>11、承办区委、区政府交办的其它事项。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（一）内设机构设置。怀化市鹤城工业集中区管理委员会内设机构包括：四个职能股室：办公室、经济发展服务股、规划建设股、财务股。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（二）决算单位构成。怀化市鹤城工业集中区管理委员会</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年部门决算汇总公开单位构成为本单位。</w:t>
      </w:r>
    </w:p>
    <w:p>
      <w:pPr>
        <w:jc w:val="left"/>
        <w:rPr>
          <w:rFonts w:cs="宋体" w:asciiTheme="minorEastAsia" w:hAnsiTheme="minorEastAsia"/>
          <w:b/>
          <w:sz w:val="32"/>
          <w:szCs w:val="32"/>
        </w:rPr>
      </w:pPr>
      <w:r>
        <w:rPr>
          <w:rFonts w:hint="eastAsia" w:cs="宋体" w:asciiTheme="minorEastAsia" w:hAnsiTheme="minorEastAsia"/>
          <w:b/>
          <w:sz w:val="32"/>
          <w:szCs w:val="32"/>
        </w:rPr>
        <w:t>三、部门收支情况：</w:t>
      </w:r>
    </w:p>
    <w:p>
      <w:pPr>
        <w:jc w:val="left"/>
        <w:rPr>
          <w:rFonts w:cs="宋体" w:asciiTheme="minorEastAsia" w:hAnsiTheme="minorEastAsia"/>
          <w:sz w:val="32"/>
          <w:szCs w:val="32"/>
        </w:rPr>
      </w:pPr>
      <w:r>
        <w:rPr>
          <w:rFonts w:hint="eastAsia" w:cs="宋体" w:asciiTheme="minorEastAsia" w:hAnsiTheme="minorEastAsia"/>
          <w:sz w:val="32"/>
          <w:szCs w:val="32"/>
        </w:rPr>
        <w:t>1、收入说明：2019年总收入为3051.07万元。</w:t>
      </w:r>
    </w:p>
    <w:p>
      <w:pPr>
        <w:jc w:val="left"/>
        <w:rPr>
          <w:rFonts w:ascii="黑体" w:hAnsi="黑体" w:eastAsia="黑体"/>
          <w:sz w:val="28"/>
          <w:szCs w:val="28"/>
        </w:rPr>
      </w:pPr>
      <w:r>
        <w:rPr>
          <w:rFonts w:hint="eastAsia" w:cs="宋体" w:asciiTheme="minorEastAsia" w:hAnsiTheme="minorEastAsia"/>
          <w:sz w:val="32"/>
          <w:szCs w:val="32"/>
        </w:rPr>
        <w:t>2、支出说明：2019年总支出为3051.07万元，其中：人员经费支出93.22万元，日常公用经费7.2万元，项目支出为2950.65万元。</w:t>
      </w:r>
    </w:p>
    <w:p>
      <w:pPr>
        <w:jc w:val="left"/>
        <w:rPr>
          <w:rFonts w:ascii="黑体" w:hAnsi="黑体"/>
          <w:sz w:val="28"/>
          <w:szCs w:val="28"/>
        </w:rPr>
      </w:pPr>
      <w:r>
        <w:rPr>
          <w:rFonts w:hint="eastAsia" w:ascii="黑体" w:hAnsi="黑体" w:eastAsia="黑体"/>
          <w:sz w:val="28"/>
          <w:szCs w:val="28"/>
        </w:rPr>
        <w:t>3、</w:t>
      </w:r>
      <w:r>
        <w:rPr>
          <w:rFonts w:hint="eastAsia" w:cs="宋体" w:asciiTheme="minorEastAsia" w:hAnsiTheme="minorEastAsia"/>
          <w:sz w:val="32"/>
          <w:szCs w:val="32"/>
        </w:rPr>
        <w:t>“三公”经费说明：2019年度“三公”经费为1.31万元，</w:t>
      </w:r>
      <w:r>
        <w:rPr>
          <w:rFonts w:hint="eastAsia" w:asciiTheme="minorEastAsia" w:hAnsiTheme="minorEastAsia"/>
          <w:sz w:val="32"/>
          <w:szCs w:val="32"/>
        </w:rPr>
        <w:t>公务接待费支出为1.18万元，公务用车购置费及运行维护费支出为0.13万元。</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7A17C8"/>
    <w:multiLevelType w:val="singleLevel"/>
    <w:tmpl w:val="5A7A17C8"/>
    <w:lvl w:ilvl="0" w:tentative="0">
      <w:start w:val="4"/>
      <w:numFmt w:val="chineseCounting"/>
      <w:suff w:val="nothing"/>
      <w:lvlText w:val="%1、"/>
      <w:lvlJc w:val="left"/>
      <w:rPr>
        <w:rFonts w:hint="eastAsia"/>
      </w:rPr>
    </w:lvl>
  </w:abstractNum>
  <w:abstractNum w:abstractNumId="1">
    <w:nsid w:val="5FFDA54B"/>
    <w:multiLevelType w:val="singleLevel"/>
    <w:tmpl w:val="5FFDA54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2AE4"/>
    <w:rsid w:val="000A7241"/>
    <w:rsid w:val="004534F7"/>
    <w:rsid w:val="004B7820"/>
    <w:rsid w:val="006C34B9"/>
    <w:rsid w:val="00D305D9"/>
    <w:rsid w:val="00F92AE4"/>
    <w:rsid w:val="0342347D"/>
    <w:rsid w:val="74BB7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802</Words>
  <Characters>4575</Characters>
  <Lines>38</Lines>
  <Paragraphs>10</Paragraphs>
  <TotalTime>9</TotalTime>
  <ScaleCrop>false</ScaleCrop>
  <LinksUpToDate>false</LinksUpToDate>
  <CharactersWithSpaces>5367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2021-06-04T08:40:00Z</dcterms:created>
  <dc:creator>gk</dc:creator>
  <cp:lastModifiedBy>且歌</cp:lastModifiedBy>
  <dcterms:modified xsi:type="dcterms:W3CDTF">2021-06-06T09:38:25Z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74D4A9062F884E98BF5388D2DD35A209</vt:lpwstr>
  </property>
</Properties>
</file>