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E6B" w:rsidRDefault="00E70E6B">
      <w:pPr>
        <w:pStyle w:val="Default"/>
        <w:jc w:val="center"/>
        <w:rPr>
          <w:sz w:val="56"/>
          <w:szCs w:val="56"/>
        </w:rPr>
      </w:pPr>
    </w:p>
    <w:p w:rsidR="00E70E6B" w:rsidRDefault="00E70E6B">
      <w:pPr>
        <w:pStyle w:val="Default"/>
        <w:jc w:val="center"/>
        <w:rPr>
          <w:sz w:val="56"/>
          <w:szCs w:val="56"/>
        </w:rPr>
      </w:pPr>
    </w:p>
    <w:p w:rsidR="00E70E6B" w:rsidRDefault="00E70E6B">
      <w:pPr>
        <w:pStyle w:val="Default"/>
        <w:jc w:val="center"/>
        <w:rPr>
          <w:sz w:val="84"/>
          <w:szCs w:val="84"/>
        </w:rPr>
      </w:pPr>
    </w:p>
    <w:p w:rsidR="00E70E6B" w:rsidRDefault="00E70E6B">
      <w:pPr>
        <w:pStyle w:val="Default"/>
        <w:jc w:val="center"/>
        <w:rPr>
          <w:sz w:val="84"/>
          <w:szCs w:val="84"/>
        </w:rPr>
      </w:pPr>
    </w:p>
    <w:p w:rsidR="00E70E6B" w:rsidRDefault="00CF03AB">
      <w:pPr>
        <w:pStyle w:val="Default"/>
        <w:jc w:val="center"/>
        <w:rPr>
          <w:sz w:val="84"/>
          <w:szCs w:val="84"/>
        </w:rPr>
      </w:pPr>
      <w:r>
        <w:rPr>
          <w:rFonts w:hint="eastAsia"/>
          <w:sz w:val="84"/>
          <w:szCs w:val="84"/>
        </w:rPr>
        <w:t>2019年度</w:t>
      </w:r>
    </w:p>
    <w:p w:rsidR="00E70E6B" w:rsidRDefault="00CF03AB">
      <w:pPr>
        <w:pStyle w:val="Default"/>
        <w:jc w:val="center"/>
        <w:rPr>
          <w:sz w:val="84"/>
          <w:szCs w:val="84"/>
        </w:rPr>
      </w:pPr>
      <w:r>
        <w:rPr>
          <w:rFonts w:hint="eastAsia"/>
          <w:sz w:val="84"/>
          <w:szCs w:val="84"/>
        </w:rPr>
        <w:t>鹤城区发展和改革局部门决算</w:t>
      </w:r>
    </w:p>
    <w:p w:rsidR="00E70E6B" w:rsidRDefault="00E70E6B">
      <w:pPr>
        <w:pStyle w:val="Default"/>
        <w:jc w:val="center"/>
        <w:rPr>
          <w:sz w:val="56"/>
          <w:szCs w:val="56"/>
        </w:rPr>
      </w:pPr>
    </w:p>
    <w:p w:rsidR="00E70E6B" w:rsidRDefault="00E70E6B">
      <w:pPr>
        <w:pStyle w:val="Default"/>
        <w:jc w:val="center"/>
        <w:rPr>
          <w:sz w:val="56"/>
          <w:szCs w:val="56"/>
        </w:rPr>
      </w:pPr>
    </w:p>
    <w:p w:rsidR="00E70E6B" w:rsidRDefault="00E70E6B">
      <w:pPr>
        <w:pStyle w:val="Default"/>
        <w:jc w:val="center"/>
        <w:rPr>
          <w:sz w:val="56"/>
          <w:szCs w:val="56"/>
        </w:rPr>
      </w:pPr>
    </w:p>
    <w:p w:rsidR="00E70E6B" w:rsidRDefault="00E70E6B">
      <w:pPr>
        <w:pStyle w:val="Default"/>
        <w:jc w:val="center"/>
        <w:rPr>
          <w:sz w:val="56"/>
          <w:szCs w:val="56"/>
        </w:rPr>
      </w:pPr>
    </w:p>
    <w:p w:rsidR="00E70E6B" w:rsidRDefault="00E70E6B">
      <w:pPr>
        <w:pStyle w:val="Default"/>
        <w:jc w:val="center"/>
        <w:rPr>
          <w:sz w:val="56"/>
          <w:szCs w:val="56"/>
        </w:rPr>
      </w:pPr>
    </w:p>
    <w:p w:rsidR="00E70E6B" w:rsidRDefault="00E70E6B">
      <w:pPr>
        <w:pStyle w:val="Default"/>
        <w:jc w:val="center"/>
        <w:rPr>
          <w:sz w:val="56"/>
          <w:szCs w:val="56"/>
        </w:rPr>
      </w:pPr>
    </w:p>
    <w:p w:rsidR="00E70E6B" w:rsidRDefault="00E70E6B">
      <w:pPr>
        <w:pStyle w:val="Default"/>
        <w:jc w:val="center"/>
        <w:rPr>
          <w:sz w:val="56"/>
          <w:szCs w:val="56"/>
        </w:rPr>
      </w:pPr>
    </w:p>
    <w:p w:rsidR="00E70E6B" w:rsidRDefault="00E70E6B">
      <w:pPr>
        <w:pStyle w:val="Default"/>
        <w:spacing w:line="540" w:lineRule="exact"/>
        <w:jc w:val="center"/>
        <w:rPr>
          <w:sz w:val="56"/>
          <w:szCs w:val="56"/>
        </w:rPr>
      </w:pPr>
    </w:p>
    <w:p w:rsidR="00E70E6B" w:rsidRDefault="00CF03AB">
      <w:pPr>
        <w:pStyle w:val="Default"/>
        <w:spacing w:line="520" w:lineRule="exact"/>
        <w:jc w:val="center"/>
        <w:rPr>
          <w:sz w:val="56"/>
          <w:szCs w:val="56"/>
        </w:rPr>
      </w:pPr>
      <w:r>
        <w:rPr>
          <w:rFonts w:hint="eastAsia"/>
          <w:sz w:val="56"/>
          <w:szCs w:val="56"/>
        </w:rPr>
        <w:t>目录</w:t>
      </w:r>
    </w:p>
    <w:p w:rsidR="00E70E6B" w:rsidRDefault="00CF03AB">
      <w:pPr>
        <w:pStyle w:val="Default"/>
        <w:spacing w:line="520" w:lineRule="exact"/>
        <w:rPr>
          <w:rFonts w:ascii="仿宋_GB2312" w:hAnsi="仿宋_GB2312" w:cs="仿宋_GB2312"/>
          <w:b/>
          <w:sz w:val="28"/>
          <w:szCs w:val="28"/>
        </w:rPr>
      </w:pPr>
      <w:r>
        <w:rPr>
          <w:rFonts w:hint="eastAsia"/>
          <w:b/>
          <w:sz w:val="28"/>
          <w:szCs w:val="28"/>
        </w:rPr>
        <w:t>第一部分发改局单位概况</w:t>
      </w:r>
    </w:p>
    <w:p w:rsidR="00E70E6B" w:rsidRDefault="00CF03AB">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E70E6B" w:rsidRDefault="00CF03AB">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E70E6B" w:rsidRDefault="00CF03AB">
      <w:pPr>
        <w:pStyle w:val="Default"/>
        <w:spacing w:line="52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2019</w:t>
      </w:r>
      <w:r>
        <w:rPr>
          <w:rFonts w:hAnsi="仿宋_GB2312" w:hint="eastAsia"/>
          <w:b/>
          <w:sz w:val="28"/>
          <w:szCs w:val="28"/>
        </w:rPr>
        <w:t>年度部门决算表</w:t>
      </w:r>
    </w:p>
    <w:p w:rsidR="00E70E6B" w:rsidRDefault="00CF03AB">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E70E6B" w:rsidRDefault="00CF03AB">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E70E6B" w:rsidRDefault="00CF03AB">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E70E6B" w:rsidRDefault="00CF03AB">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E70E6B" w:rsidRDefault="00CF03AB">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E70E6B" w:rsidRDefault="00CF03AB">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E70E6B" w:rsidRDefault="00CF03AB">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lastRenderedPageBreak/>
        <w:t>七、一般公共预算财政拨款“三公”经费支出决算表</w:t>
      </w:r>
    </w:p>
    <w:p w:rsidR="00E70E6B" w:rsidRDefault="00CF03AB">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E70E6B" w:rsidRDefault="00CF03AB">
      <w:pPr>
        <w:pStyle w:val="Default"/>
        <w:spacing w:line="52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2019</w:t>
      </w:r>
      <w:r>
        <w:rPr>
          <w:rFonts w:hAnsi="仿宋_GB2312" w:hint="eastAsia"/>
          <w:b/>
          <w:sz w:val="28"/>
          <w:szCs w:val="28"/>
        </w:rPr>
        <w:t>年度部门决算情况说明</w:t>
      </w:r>
    </w:p>
    <w:p w:rsidR="00E70E6B" w:rsidRDefault="00CF03AB">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E70E6B" w:rsidRDefault="00CF03AB">
      <w:pPr>
        <w:spacing w:line="52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E70E6B" w:rsidRDefault="00CF03AB">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E70E6B" w:rsidRDefault="00CF03AB">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E70E6B" w:rsidRDefault="00CF03AB">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E70E6B" w:rsidRDefault="00CF03AB">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E70E6B" w:rsidRDefault="00CF03AB">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E70E6B" w:rsidRDefault="00CF03AB">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E70E6B" w:rsidRDefault="00CF03AB">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、预算绩效情况说明</w:t>
      </w:r>
    </w:p>
    <w:p w:rsidR="00E70E6B" w:rsidRDefault="00CF03AB">
      <w:pPr>
        <w:autoSpaceDE w:val="0"/>
        <w:autoSpaceDN w:val="0"/>
        <w:adjustRightInd w:val="0"/>
        <w:spacing w:line="52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w:t>
      </w:r>
      <w:r>
        <w:rPr>
          <w:rFonts w:ascii="仿宋_GB2312" w:hAnsi="仿宋_GB2312" w:cs="仿宋_GB2312"/>
          <w:color w:val="000000"/>
          <w:kern w:val="0"/>
          <w:sz w:val="28"/>
          <w:szCs w:val="28"/>
        </w:rPr>
        <w:t>、其他重要事项情况说明</w:t>
      </w:r>
    </w:p>
    <w:p w:rsidR="00E70E6B" w:rsidRDefault="00CF03AB">
      <w:pPr>
        <w:autoSpaceDE w:val="0"/>
        <w:autoSpaceDN w:val="0"/>
        <w:adjustRightInd w:val="0"/>
        <w:spacing w:line="520" w:lineRule="exact"/>
        <w:jc w:val="left"/>
        <w:rPr>
          <w:rFonts w:ascii="黑体" w:eastAsia="黑体" w:hAnsi="黑体" w:cs="仿宋_GB2312"/>
          <w:b/>
          <w:color w:val="000000"/>
          <w:kern w:val="0"/>
          <w:sz w:val="28"/>
          <w:szCs w:val="28"/>
        </w:rPr>
      </w:pPr>
      <w:r>
        <w:rPr>
          <w:rFonts w:ascii="黑体" w:eastAsia="黑体" w:hAnsi="黑体" w:cs="黑体"/>
          <w:b/>
          <w:color w:val="000000"/>
          <w:kern w:val="0"/>
          <w:sz w:val="28"/>
          <w:szCs w:val="28"/>
        </w:rPr>
        <w:t>第四部分名词解释</w:t>
      </w:r>
    </w:p>
    <w:p w:rsidR="00E70E6B" w:rsidRDefault="00E70E6B">
      <w:pPr>
        <w:jc w:val="center"/>
        <w:rPr>
          <w:sz w:val="72"/>
          <w:szCs w:val="72"/>
        </w:rPr>
      </w:pPr>
    </w:p>
    <w:p w:rsidR="00E70E6B" w:rsidRDefault="00E70E6B">
      <w:pPr>
        <w:jc w:val="center"/>
        <w:rPr>
          <w:sz w:val="72"/>
          <w:szCs w:val="72"/>
        </w:rPr>
      </w:pPr>
    </w:p>
    <w:p w:rsidR="00E70E6B" w:rsidRDefault="00E70E6B">
      <w:pPr>
        <w:jc w:val="center"/>
        <w:rPr>
          <w:sz w:val="72"/>
          <w:szCs w:val="72"/>
        </w:rPr>
      </w:pPr>
    </w:p>
    <w:p w:rsidR="00E70E6B" w:rsidRDefault="00E70E6B">
      <w:pPr>
        <w:jc w:val="center"/>
        <w:rPr>
          <w:sz w:val="72"/>
          <w:szCs w:val="72"/>
        </w:rPr>
      </w:pPr>
    </w:p>
    <w:p w:rsidR="00E70E6B" w:rsidRDefault="00E70E6B">
      <w:pPr>
        <w:rPr>
          <w:sz w:val="72"/>
          <w:szCs w:val="72"/>
        </w:rPr>
      </w:pPr>
    </w:p>
    <w:p w:rsidR="00E70E6B" w:rsidRDefault="00CF03AB">
      <w:pPr>
        <w:pStyle w:val="Default"/>
        <w:jc w:val="center"/>
        <w:rPr>
          <w:sz w:val="84"/>
          <w:szCs w:val="84"/>
        </w:rPr>
      </w:pPr>
      <w:r>
        <w:rPr>
          <w:rFonts w:hint="eastAsia"/>
          <w:sz w:val="84"/>
          <w:szCs w:val="84"/>
        </w:rPr>
        <w:t>第一部分</w:t>
      </w:r>
    </w:p>
    <w:p w:rsidR="00E70E6B" w:rsidRDefault="00E70E6B">
      <w:pPr>
        <w:pStyle w:val="Default"/>
        <w:jc w:val="center"/>
        <w:rPr>
          <w:sz w:val="84"/>
          <w:szCs w:val="84"/>
        </w:rPr>
      </w:pPr>
    </w:p>
    <w:p w:rsidR="00E70E6B" w:rsidRDefault="00CF03AB">
      <w:pPr>
        <w:pStyle w:val="Default"/>
        <w:jc w:val="center"/>
        <w:rPr>
          <w:sz w:val="84"/>
          <w:szCs w:val="84"/>
        </w:rPr>
      </w:pPr>
      <w:r>
        <w:rPr>
          <w:rFonts w:hint="eastAsia"/>
          <w:sz w:val="84"/>
          <w:szCs w:val="84"/>
        </w:rPr>
        <w:t>鹤城区发展和改革局概况</w:t>
      </w:r>
    </w:p>
    <w:p w:rsidR="00E70E6B" w:rsidRDefault="00E70E6B">
      <w:pPr>
        <w:jc w:val="center"/>
        <w:rPr>
          <w:sz w:val="72"/>
          <w:szCs w:val="72"/>
        </w:rPr>
      </w:pPr>
    </w:p>
    <w:p w:rsidR="00E70E6B" w:rsidRDefault="00E70E6B">
      <w:pPr>
        <w:jc w:val="center"/>
        <w:rPr>
          <w:sz w:val="72"/>
          <w:szCs w:val="72"/>
        </w:rPr>
      </w:pPr>
    </w:p>
    <w:p w:rsidR="00E70E6B" w:rsidRDefault="00E70E6B">
      <w:pPr>
        <w:jc w:val="center"/>
        <w:rPr>
          <w:sz w:val="72"/>
          <w:szCs w:val="72"/>
        </w:rPr>
      </w:pPr>
    </w:p>
    <w:p w:rsidR="00E70E6B" w:rsidRDefault="00E70E6B">
      <w:pPr>
        <w:jc w:val="center"/>
        <w:rPr>
          <w:sz w:val="72"/>
          <w:szCs w:val="72"/>
        </w:rPr>
      </w:pPr>
    </w:p>
    <w:p w:rsidR="00E70E6B" w:rsidRDefault="00E70E6B">
      <w:pPr>
        <w:jc w:val="center"/>
        <w:rPr>
          <w:sz w:val="72"/>
          <w:szCs w:val="72"/>
        </w:rPr>
      </w:pPr>
    </w:p>
    <w:p w:rsidR="00E70E6B" w:rsidRDefault="00E70E6B">
      <w:pPr>
        <w:pStyle w:val="a6"/>
        <w:ind w:left="720" w:firstLineChars="0" w:firstLine="0"/>
        <w:jc w:val="left"/>
        <w:rPr>
          <w:rFonts w:ascii="黑体" w:eastAsia="黑体" w:hAnsi="黑体"/>
          <w:sz w:val="32"/>
          <w:szCs w:val="32"/>
        </w:rPr>
      </w:pPr>
    </w:p>
    <w:p w:rsidR="00E70E6B" w:rsidRDefault="00CF03AB">
      <w:pPr>
        <w:pStyle w:val="a6"/>
        <w:numPr>
          <w:ilvl w:val="0"/>
          <w:numId w:val="1"/>
        </w:numPr>
        <w:ind w:firstLineChars="0"/>
        <w:jc w:val="left"/>
        <w:rPr>
          <w:rFonts w:ascii="黑体" w:eastAsia="黑体" w:hAnsi="黑体"/>
          <w:sz w:val="32"/>
          <w:szCs w:val="32"/>
        </w:rPr>
      </w:pPr>
      <w:r>
        <w:rPr>
          <w:rFonts w:ascii="黑体" w:eastAsia="黑体" w:hAnsi="黑体"/>
          <w:sz w:val="32"/>
          <w:szCs w:val="32"/>
        </w:rPr>
        <w:t>部门职责</w:t>
      </w:r>
    </w:p>
    <w:p w:rsidR="00E70E6B" w:rsidRDefault="00CF03AB">
      <w:pPr>
        <w:widowControl/>
        <w:spacing w:line="600" w:lineRule="exact"/>
        <w:rPr>
          <w:rFonts w:ascii="黑体" w:eastAsia="黑体" w:hAnsi="黑体"/>
          <w:bCs/>
          <w:kern w:val="0"/>
          <w:sz w:val="32"/>
          <w:szCs w:val="32"/>
        </w:rPr>
      </w:pPr>
      <w:r>
        <w:rPr>
          <w:rFonts w:ascii="仿宋_GB2312" w:eastAsia="仿宋_GB2312" w:hint="eastAsia"/>
          <w:kern w:val="0"/>
          <w:sz w:val="32"/>
          <w:szCs w:val="32"/>
        </w:rPr>
        <w:t>拟订并组织实施全区国民经济和社会发展战略、中长期规划和年度计划；研究全区宏观经济运行、总量平衡、经济安全和总体产业安全等重要问题并提出宏观调控政策建议；汇总社会奖金总体运行情况；指导推进和综合协调全区经济体制改革，研究全区经济体制改革和对外开放重大问题；拟订全区全社会固定资产投资总规模和投资结构的调控目标、政策及措施；组织拟订综合性产业政策；贯彻落实国家西部开发、中部崛起建设的政策措施；承担重要商品总量平衡和宏观调控；编制和执行全区价格改革规划，拟订并组织实施价格政策；协调推进经济发展环境的优化；研究制定推进社会信用体系建设的法规、规划、政策措施；起草全区能源发展和有关监督管理的地方性法规、规章等。</w:t>
      </w:r>
      <w:r>
        <w:rPr>
          <w:rFonts w:ascii="仿宋_GB2312" w:eastAsia="仿宋_GB2312"/>
          <w:kern w:val="0"/>
          <w:sz w:val="32"/>
          <w:szCs w:val="32"/>
        </w:rPr>
        <w:br/>
      </w:r>
      <w:r>
        <w:rPr>
          <w:rFonts w:ascii="黑体" w:eastAsia="黑体" w:hAnsi="黑体" w:hint="eastAsia"/>
          <w:bCs/>
          <w:kern w:val="0"/>
          <w:sz w:val="32"/>
          <w:szCs w:val="32"/>
        </w:rPr>
        <w:t>二、机构设置及决算单位构成</w:t>
      </w:r>
    </w:p>
    <w:p w:rsidR="00E70E6B" w:rsidRDefault="00CF03AB">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（一）内设机构设置。</w:t>
      </w:r>
      <w:r>
        <w:rPr>
          <w:rFonts w:ascii="仿宋_GB2312" w:eastAsia="仿宋_GB2312" w:hAnsi="仿宋_GB2312" w:cs="仿宋_GB2312" w:hint="eastAsia"/>
          <w:sz w:val="32"/>
          <w:szCs w:val="32"/>
        </w:rPr>
        <w:t>鹤城区发展和改革局</w:t>
      </w:r>
      <w:r>
        <w:rPr>
          <w:rFonts w:asciiTheme="minorEastAsia" w:hAnsiTheme="minorEastAsia" w:hint="eastAsia"/>
          <w:bCs/>
          <w:kern w:val="0"/>
          <w:sz w:val="32"/>
          <w:szCs w:val="32"/>
        </w:rPr>
        <w:t>内设机构包括：</w:t>
      </w:r>
      <w:r>
        <w:rPr>
          <w:rFonts w:ascii="仿宋_GB2312" w:eastAsia="仿宋_GB2312" w:hAnsi="仿宋_GB2312" w:cs="仿宋_GB2312" w:hint="eastAsia"/>
          <w:sz w:val="32"/>
          <w:szCs w:val="32"/>
        </w:rPr>
        <w:t>办公室、</w:t>
      </w:r>
      <w:r>
        <w:rPr>
          <w:rFonts w:ascii="仿宋" w:eastAsia="仿宋" w:hAnsi="仿宋" w:cs="仿宋" w:hint="eastAsia"/>
          <w:sz w:val="32"/>
          <w:szCs w:val="32"/>
        </w:rPr>
        <w:t>行政审批股、国民经济综合规划法规股</w:t>
      </w:r>
      <w:r>
        <w:rPr>
          <w:rFonts w:ascii="仿宋_GB2312" w:eastAsia="仿宋_GB2312" w:hAnsi="仿宋_GB2312" w:cs="仿宋_GB2312" w:hint="eastAsia"/>
          <w:sz w:val="32"/>
          <w:szCs w:val="32"/>
        </w:rPr>
        <w:t>、固定资产投资股、</w:t>
      </w:r>
      <w:r>
        <w:rPr>
          <w:rFonts w:ascii="仿宋" w:eastAsia="仿宋" w:hAnsi="仿宋" w:cs="仿宋" w:hint="eastAsia"/>
          <w:sz w:val="32"/>
          <w:szCs w:val="32"/>
        </w:rPr>
        <w:t>社会发展与财贸外经服务业股、</w:t>
      </w:r>
      <w:r>
        <w:rPr>
          <w:rFonts w:ascii="仿宋_GB2312" w:eastAsia="仿宋_GB2312" w:hAnsi="仿宋_GB2312" w:cs="仿宋_GB2312" w:hint="eastAsia"/>
          <w:sz w:val="32"/>
          <w:szCs w:val="32"/>
        </w:rPr>
        <w:t>农村经济股、</w:t>
      </w:r>
      <w:r>
        <w:rPr>
          <w:rFonts w:ascii="仿宋" w:eastAsia="仿宋" w:hAnsi="仿宋" w:cs="仿宋" w:hint="eastAsia"/>
          <w:sz w:val="32"/>
          <w:szCs w:val="32"/>
        </w:rPr>
        <w:t>环境资源与工业基础产业股、湘西地区开发和能源管理股、价格调控收费管理股、粮食行业发展和军粮供应股、粮食和战略物资储备股、人事和财务股</w:t>
      </w:r>
      <w:r>
        <w:rPr>
          <w:rFonts w:ascii="仿宋_GB2312" w:eastAsia="仿宋_GB2312" w:hAnsi="仿宋_GB2312" w:cs="仿宋_GB2312" w:hint="eastAsia"/>
          <w:sz w:val="32"/>
          <w:szCs w:val="32"/>
        </w:rPr>
        <w:t>12个内设职能股室。</w:t>
      </w:r>
    </w:p>
    <w:p w:rsidR="00E70E6B" w:rsidRDefault="00CF03AB">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（二）决算单位构成。</w:t>
      </w:r>
      <w:r>
        <w:rPr>
          <w:rFonts w:ascii="仿宋_GB2312" w:eastAsia="仿宋_GB2312" w:hAnsi="仿宋_GB2312" w:cs="仿宋_GB2312" w:hint="eastAsia"/>
          <w:sz w:val="32"/>
          <w:szCs w:val="32"/>
        </w:rPr>
        <w:t>鹤城区发展和改革局</w:t>
      </w:r>
      <w:r>
        <w:rPr>
          <w:rFonts w:asciiTheme="minorEastAsia" w:hAnsiTheme="minorEastAsia"/>
          <w:bCs/>
          <w:kern w:val="0"/>
          <w:sz w:val="32"/>
          <w:szCs w:val="32"/>
        </w:rPr>
        <w:t>2019</w:t>
      </w:r>
      <w:r>
        <w:rPr>
          <w:rFonts w:asciiTheme="minorEastAsia" w:hAnsiTheme="minorEastAsia" w:hint="eastAsia"/>
          <w:bCs/>
          <w:kern w:val="0"/>
          <w:sz w:val="32"/>
          <w:szCs w:val="32"/>
        </w:rPr>
        <w:t>年部门决算汇总公开单位构成包括：</w:t>
      </w:r>
      <w:r>
        <w:rPr>
          <w:rFonts w:ascii="仿宋_GB2312" w:eastAsia="仿宋_GB2312" w:hAnsi="仿宋_GB2312" w:cs="仿宋_GB2312" w:hint="eastAsia"/>
          <w:sz w:val="32"/>
          <w:szCs w:val="32"/>
        </w:rPr>
        <w:t>鹤城区发展和改革局</w:t>
      </w:r>
      <w:r>
        <w:rPr>
          <w:rFonts w:asciiTheme="minorEastAsia" w:hAnsiTheme="minorEastAsia" w:hint="eastAsia"/>
          <w:bCs/>
          <w:kern w:val="0"/>
          <w:sz w:val="32"/>
          <w:szCs w:val="32"/>
        </w:rPr>
        <w:t>本级</w:t>
      </w:r>
    </w:p>
    <w:p w:rsidR="00E70E6B" w:rsidRDefault="00E70E6B">
      <w:pPr>
        <w:jc w:val="left"/>
        <w:rPr>
          <w:rFonts w:ascii="仿宋_GB2312" w:eastAsia="仿宋_GB2312" w:hAnsiTheme="minorEastAsia"/>
          <w:sz w:val="28"/>
          <w:szCs w:val="32"/>
        </w:rPr>
      </w:pPr>
    </w:p>
    <w:p w:rsidR="00E70E6B" w:rsidRDefault="00E70E6B">
      <w:pPr>
        <w:jc w:val="center"/>
        <w:rPr>
          <w:rFonts w:ascii="黑体" w:eastAsia="黑体" w:hAnsi="黑体"/>
          <w:sz w:val="28"/>
          <w:szCs w:val="28"/>
        </w:rPr>
      </w:pPr>
    </w:p>
    <w:p w:rsidR="00E70E6B" w:rsidRDefault="00E70E6B">
      <w:pPr>
        <w:jc w:val="center"/>
        <w:rPr>
          <w:rFonts w:ascii="黑体" w:eastAsia="黑体" w:hAnsi="黑体"/>
          <w:sz w:val="28"/>
          <w:szCs w:val="28"/>
        </w:rPr>
      </w:pPr>
    </w:p>
    <w:p w:rsidR="00E70E6B" w:rsidRDefault="00E70E6B">
      <w:pPr>
        <w:jc w:val="center"/>
        <w:rPr>
          <w:rFonts w:ascii="黑体" w:eastAsia="黑体" w:hAnsi="黑体"/>
          <w:sz w:val="28"/>
          <w:szCs w:val="28"/>
        </w:rPr>
      </w:pPr>
    </w:p>
    <w:p w:rsidR="00E70E6B" w:rsidRDefault="00E70E6B">
      <w:pPr>
        <w:jc w:val="center"/>
        <w:rPr>
          <w:rFonts w:ascii="黑体" w:eastAsia="黑体" w:hAnsi="黑体"/>
          <w:sz w:val="28"/>
          <w:szCs w:val="28"/>
        </w:rPr>
      </w:pPr>
    </w:p>
    <w:p w:rsidR="00E70E6B" w:rsidRDefault="00E70E6B">
      <w:pPr>
        <w:jc w:val="center"/>
        <w:rPr>
          <w:rFonts w:ascii="黑体" w:eastAsia="黑体" w:hAnsi="黑体"/>
          <w:sz w:val="28"/>
          <w:szCs w:val="28"/>
        </w:rPr>
      </w:pPr>
    </w:p>
    <w:p w:rsidR="00E70E6B" w:rsidRDefault="00E70E6B">
      <w:pPr>
        <w:jc w:val="center"/>
        <w:rPr>
          <w:rFonts w:ascii="黑体" w:eastAsia="黑体" w:hAnsi="黑体"/>
          <w:sz w:val="28"/>
          <w:szCs w:val="28"/>
        </w:rPr>
      </w:pPr>
    </w:p>
    <w:p w:rsidR="00E70E6B" w:rsidRDefault="00E70E6B">
      <w:pPr>
        <w:jc w:val="center"/>
        <w:rPr>
          <w:rFonts w:ascii="黑体" w:eastAsia="黑体" w:hAnsi="黑体"/>
          <w:sz w:val="28"/>
          <w:szCs w:val="28"/>
        </w:rPr>
      </w:pPr>
    </w:p>
    <w:p w:rsidR="00E70E6B" w:rsidRDefault="00CF03AB">
      <w:pPr>
        <w:jc w:val="center"/>
        <w:rPr>
          <w:sz w:val="72"/>
          <w:szCs w:val="72"/>
        </w:rPr>
      </w:pPr>
      <w:r>
        <w:rPr>
          <w:rFonts w:hint="eastAsia"/>
          <w:sz w:val="72"/>
          <w:szCs w:val="72"/>
        </w:rPr>
        <w:t>第二部分</w:t>
      </w:r>
    </w:p>
    <w:p w:rsidR="00E70E6B" w:rsidRDefault="00E70E6B">
      <w:pPr>
        <w:jc w:val="center"/>
        <w:rPr>
          <w:sz w:val="72"/>
          <w:szCs w:val="72"/>
        </w:rPr>
      </w:pPr>
    </w:p>
    <w:p w:rsidR="00E70E6B" w:rsidRDefault="00CF03AB">
      <w:pPr>
        <w:jc w:val="center"/>
        <w:rPr>
          <w:sz w:val="72"/>
          <w:szCs w:val="72"/>
        </w:rPr>
      </w:pPr>
      <w:r>
        <w:rPr>
          <w:rFonts w:hint="eastAsia"/>
          <w:sz w:val="72"/>
          <w:szCs w:val="72"/>
        </w:rPr>
        <w:t>部门决算表（详见附表）</w:t>
      </w:r>
    </w:p>
    <w:p w:rsidR="00E70E6B" w:rsidRDefault="00E70E6B">
      <w:pPr>
        <w:jc w:val="center"/>
        <w:rPr>
          <w:sz w:val="72"/>
          <w:szCs w:val="72"/>
        </w:rPr>
      </w:pPr>
    </w:p>
    <w:p w:rsidR="00E70E6B" w:rsidRDefault="00E70E6B">
      <w:pPr>
        <w:pStyle w:val="Default"/>
        <w:rPr>
          <w:sz w:val="72"/>
          <w:szCs w:val="72"/>
        </w:rPr>
        <w:sectPr w:rsidR="00E70E6B">
          <w:pgSz w:w="16838" w:h="11906" w:orient="landscape"/>
          <w:pgMar w:top="720" w:right="720" w:bottom="720" w:left="720" w:header="851" w:footer="992" w:gutter="0"/>
          <w:cols w:space="425"/>
          <w:docGrid w:type="lines" w:linePitch="312"/>
        </w:sectPr>
      </w:pPr>
    </w:p>
    <w:p w:rsidR="00E70E6B" w:rsidRDefault="00E70E6B">
      <w:pPr>
        <w:pStyle w:val="Default"/>
        <w:rPr>
          <w:sz w:val="72"/>
          <w:szCs w:val="72"/>
        </w:rPr>
      </w:pPr>
    </w:p>
    <w:p w:rsidR="00E70E6B" w:rsidRDefault="00E70E6B">
      <w:pPr>
        <w:pStyle w:val="Default"/>
        <w:rPr>
          <w:sz w:val="72"/>
          <w:szCs w:val="72"/>
        </w:rPr>
      </w:pPr>
    </w:p>
    <w:p w:rsidR="00E70E6B" w:rsidRDefault="00E70E6B">
      <w:pPr>
        <w:pStyle w:val="Default"/>
        <w:rPr>
          <w:sz w:val="72"/>
          <w:szCs w:val="72"/>
        </w:rPr>
      </w:pPr>
    </w:p>
    <w:p w:rsidR="00E70E6B" w:rsidRDefault="00E70E6B">
      <w:pPr>
        <w:pStyle w:val="Default"/>
        <w:jc w:val="center"/>
        <w:rPr>
          <w:sz w:val="72"/>
          <w:szCs w:val="72"/>
        </w:rPr>
      </w:pPr>
    </w:p>
    <w:p w:rsidR="00E70E6B" w:rsidRDefault="00E70E6B">
      <w:pPr>
        <w:pStyle w:val="Default"/>
        <w:jc w:val="center"/>
        <w:rPr>
          <w:sz w:val="72"/>
          <w:szCs w:val="72"/>
        </w:rPr>
      </w:pPr>
    </w:p>
    <w:p w:rsidR="00E70E6B" w:rsidRDefault="00CF03AB">
      <w:pPr>
        <w:pStyle w:val="Default"/>
        <w:jc w:val="center"/>
        <w:rPr>
          <w:sz w:val="72"/>
          <w:szCs w:val="72"/>
        </w:rPr>
      </w:pPr>
      <w:r>
        <w:rPr>
          <w:rFonts w:hint="eastAsia"/>
          <w:sz w:val="72"/>
          <w:szCs w:val="72"/>
        </w:rPr>
        <w:t>第三部分</w:t>
      </w:r>
    </w:p>
    <w:p w:rsidR="00E70E6B" w:rsidRDefault="00E70E6B">
      <w:pPr>
        <w:pStyle w:val="Default"/>
        <w:jc w:val="center"/>
        <w:rPr>
          <w:sz w:val="70"/>
          <w:szCs w:val="70"/>
        </w:rPr>
      </w:pPr>
    </w:p>
    <w:p w:rsidR="00E70E6B" w:rsidRDefault="00CF03AB">
      <w:pPr>
        <w:pStyle w:val="Default"/>
        <w:jc w:val="center"/>
        <w:rPr>
          <w:sz w:val="70"/>
          <w:szCs w:val="70"/>
        </w:rPr>
      </w:pPr>
      <w:r>
        <w:rPr>
          <w:sz w:val="70"/>
          <w:szCs w:val="70"/>
        </w:rPr>
        <w:t>2019</w:t>
      </w:r>
      <w:r>
        <w:rPr>
          <w:rFonts w:hint="eastAsia"/>
          <w:sz w:val="70"/>
          <w:szCs w:val="70"/>
        </w:rPr>
        <w:t>年度部门决算情况说明</w:t>
      </w:r>
    </w:p>
    <w:p w:rsidR="00E70E6B" w:rsidRDefault="00CF03AB">
      <w:pPr>
        <w:widowControl/>
        <w:jc w:val="left"/>
        <w:rPr>
          <w:rFonts w:ascii="黑体" w:eastAsia="黑体" w:cs="黑体"/>
          <w:color w:val="000000"/>
          <w:kern w:val="0"/>
          <w:sz w:val="70"/>
          <w:szCs w:val="70"/>
        </w:rPr>
      </w:pPr>
      <w:r>
        <w:rPr>
          <w:sz w:val="70"/>
          <w:szCs w:val="70"/>
        </w:rPr>
        <w:br w:type="page"/>
      </w:r>
    </w:p>
    <w:p w:rsidR="00E70E6B" w:rsidRDefault="00E70E6B">
      <w:pPr>
        <w:pStyle w:val="Default"/>
        <w:rPr>
          <w:rFonts w:asciiTheme="minorEastAsia" w:eastAsiaTheme="minorEastAsia" w:hAnsiTheme="minorEastAsia"/>
          <w:sz w:val="32"/>
          <w:szCs w:val="32"/>
        </w:rPr>
      </w:pPr>
    </w:p>
    <w:p w:rsidR="00E70E6B" w:rsidRDefault="00CF03AB">
      <w:pPr>
        <w:pStyle w:val="Default"/>
        <w:rPr>
          <w:rFonts w:hAnsi="黑体"/>
          <w:b/>
          <w:sz w:val="32"/>
          <w:szCs w:val="32"/>
        </w:rPr>
      </w:pPr>
      <w:r>
        <w:rPr>
          <w:rFonts w:hAnsi="黑体" w:hint="eastAsia"/>
          <w:b/>
          <w:sz w:val="32"/>
          <w:szCs w:val="32"/>
        </w:rPr>
        <w:t>一、收入支出决算总体情况说明</w:t>
      </w:r>
    </w:p>
    <w:p w:rsidR="00E70E6B" w:rsidRDefault="00CF03AB">
      <w:pPr>
        <w:pStyle w:val="Default"/>
        <w:ind w:firstLineChars="200" w:firstLine="640"/>
        <w:rPr>
          <w:rFonts w:asciiTheme="minorEastAsia" w:eastAsiaTheme="minorEastAsia" w:hAnsiTheme="minorEastAsia"/>
          <w:sz w:val="32"/>
          <w:szCs w:val="32"/>
        </w:rPr>
      </w:pPr>
      <w:r>
        <w:rPr>
          <w:rFonts w:ascii="Times New Roman" w:eastAsia="仿宋_GB2312" w:hAnsi="Times New Roman" w:cs="Times New Roman" w:hint="eastAsia"/>
          <w:sz w:val="32"/>
          <w:szCs w:val="32"/>
        </w:rPr>
        <w:t>2019</w:t>
      </w:r>
      <w:r>
        <w:rPr>
          <w:rFonts w:ascii="Times New Roman" w:eastAsia="仿宋_GB2312" w:hAnsi="Times New Roman" w:cs="Times New Roman" w:hint="eastAsia"/>
          <w:sz w:val="32"/>
          <w:szCs w:val="32"/>
        </w:rPr>
        <w:t>年填报部门决算收入总计</w:t>
      </w:r>
      <w:r>
        <w:rPr>
          <w:rFonts w:ascii="Times New Roman" w:eastAsia="仿宋_GB2312" w:hAnsi="Times New Roman" w:cs="Times New Roman" w:hint="eastAsia"/>
          <w:sz w:val="32"/>
          <w:szCs w:val="32"/>
        </w:rPr>
        <w:t>1114.59</w:t>
      </w:r>
      <w:r>
        <w:rPr>
          <w:rFonts w:ascii="Times New Roman" w:eastAsia="仿宋_GB2312" w:hAnsi="Times New Roman" w:cs="Times New Roman" w:hint="eastAsia"/>
          <w:sz w:val="32"/>
          <w:szCs w:val="32"/>
        </w:rPr>
        <w:t>万元，与</w:t>
      </w:r>
      <w:r>
        <w:rPr>
          <w:rFonts w:ascii="Times New Roman" w:eastAsia="仿宋_GB2312" w:hAnsi="Times New Roman" w:cs="Times New Roman" w:hint="eastAsia"/>
          <w:sz w:val="32"/>
          <w:szCs w:val="32"/>
        </w:rPr>
        <w:t>2018</w:t>
      </w:r>
      <w:r>
        <w:rPr>
          <w:rFonts w:ascii="Times New Roman" w:eastAsia="仿宋_GB2312" w:hAnsi="Times New Roman" w:cs="Times New Roman" w:hint="eastAsia"/>
          <w:sz w:val="32"/>
          <w:szCs w:val="32"/>
        </w:rPr>
        <w:t>年相比，增加</w:t>
      </w:r>
      <w:r>
        <w:rPr>
          <w:rFonts w:ascii="Times New Roman" w:eastAsia="仿宋_GB2312" w:hAnsi="Times New Roman" w:cs="Times New Roman" w:hint="eastAsia"/>
          <w:sz w:val="32"/>
          <w:szCs w:val="32"/>
        </w:rPr>
        <w:t xml:space="preserve">215.83  </w:t>
      </w:r>
      <w:r>
        <w:rPr>
          <w:rFonts w:ascii="Times New Roman" w:eastAsia="仿宋_GB2312" w:hAnsi="Times New Roman" w:cs="Times New Roman" w:hint="eastAsia"/>
          <w:sz w:val="32"/>
          <w:szCs w:val="32"/>
        </w:rPr>
        <w:t>万元，增长</w:t>
      </w:r>
      <w:r>
        <w:rPr>
          <w:rFonts w:ascii="Times New Roman" w:eastAsia="仿宋_GB2312" w:hAnsi="Times New Roman" w:cs="Times New Roman" w:hint="eastAsia"/>
          <w:sz w:val="32"/>
          <w:szCs w:val="32"/>
        </w:rPr>
        <w:t>24%</w:t>
      </w:r>
      <w:r>
        <w:rPr>
          <w:rFonts w:ascii="Times New Roman" w:eastAsia="仿宋_GB2312" w:hAnsi="Times New Roman" w:cs="Times New Roman" w:hint="eastAsia"/>
          <w:sz w:val="32"/>
          <w:szCs w:val="32"/>
        </w:rPr>
        <w:t>，主要是因为机构改革，人员经费增加。支出总计</w:t>
      </w:r>
      <w:r>
        <w:rPr>
          <w:rFonts w:ascii="Times New Roman" w:eastAsia="仿宋_GB2312" w:hAnsi="Times New Roman" w:cs="Times New Roman" w:hint="eastAsia"/>
          <w:sz w:val="32"/>
          <w:szCs w:val="32"/>
        </w:rPr>
        <w:t>1114.60</w:t>
      </w:r>
      <w:r>
        <w:rPr>
          <w:rFonts w:ascii="Times New Roman" w:eastAsia="仿宋_GB2312" w:hAnsi="Times New Roman" w:cs="Times New Roman" w:hint="eastAsia"/>
          <w:sz w:val="32"/>
          <w:szCs w:val="32"/>
        </w:rPr>
        <w:t>万元，与</w:t>
      </w:r>
      <w:r>
        <w:rPr>
          <w:rFonts w:ascii="Times New Roman" w:eastAsia="仿宋_GB2312" w:hAnsi="Times New Roman" w:cs="Times New Roman" w:hint="eastAsia"/>
          <w:sz w:val="32"/>
          <w:szCs w:val="32"/>
        </w:rPr>
        <w:t>2018</w:t>
      </w:r>
      <w:r>
        <w:rPr>
          <w:rFonts w:ascii="Times New Roman" w:eastAsia="仿宋_GB2312" w:hAnsi="Times New Roman" w:cs="Times New Roman" w:hint="eastAsia"/>
          <w:sz w:val="32"/>
          <w:szCs w:val="32"/>
        </w:rPr>
        <w:t>年相比，增加</w:t>
      </w:r>
      <w:r>
        <w:rPr>
          <w:rFonts w:ascii="Times New Roman" w:eastAsia="仿宋_GB2312" w:hAnsi="Times New Roman" w:cs="Times New Roman" w:hint="eastAsia"/>
          <w:sz w:val="32"/>
          <w:szCs w:val="32"/>
        </w:rPr>
        <w:t>215.67</w:t>
      </w:r>
      <w:r>
        <w:rPr>
          <w:rFonts w:ascii="Times New Roman" w:eastAsia="仿宋_GB2312" w:hAnsi="Times New Roman" w:cs="Times New Roman" w:hint="eastAsia"/>
          <w:sz w:val="32"/>
          <w:szCs w:val="32"/>
        </w:rPr>
        <w:t>万元，增长</w:t>
      </w:r>
      <w:r>
        <w:rPr>
          <w:rFonts w:ascii="Times New Roman" w:eastAsia="仿宋_GB2312" w:hAnsi="Times New Roman" w:cs="Times New Roman" w:hint="eastAsia"/>
          <w:sz w:val="32"/>
          <w:szCs w:val="32"/>
        </w:rPr>
        <w:t>24%</w:t>
      </w:r>
      <w:r>
        <w:rPr>
          <w:rFonts w:ascii="Times New Roman" w:eastAsia="仿宋_GB2312" w:hAnsi="Times New Roman" w:cs="Times New Roman" w:hint="eastAsia"/>
          <w:sz w:val="32"/>
          <w:szCs w:val="32"/>
        </w:rPr>
        <w:t>，主要是因为机构改革，人员经费支出增加。</w:t>
      </w:r>
    </w:p>
    <w:p w:rsidR="00E70E6B" w:rsidRDefault="00CF03AB">
      <w:pPr>
        <w:pStyle w:val="Default"/>
        <w:rPr>
          <w:rFonts w:hAnsi="黑体"/>
          <w:b/>
          <w:sz w:val="32"/>
          <w:szCs w:val="32"/>
        </w:rPr>
      </w:pPr>
      <w:r>
        <w:rPr>
          <w:rFonts w:hAnsi="黑体" w:hint="eastAsia"/>
          <w:b/>
          <w:sz w:val="32"/>
          <w:szCs w:val="32"/>
        </w:rPr>
        <w:t>二、收入决算情况说明</w:t>
      </w:r>
    </w:p>
    <w:p w:rsidR="00E70E6B" w:rsidRDefault="00CF03AB">
      <w:pPr>
        <w:widowControl/>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本年收入合计</w:t>
      </w:r>
      <w:r>
        <w:rPr>
          <w:rFonts w:ascii="Times New Roman" w:eastAsia="仿宋_GB2312" w:hAnsi="Times New Roman" w:cs="Times New Roman" w:hint="eastAsia"/>
          <w:kern w:val="0"/>
          <w:sz w:val="32"/>
          <w:szCs w:val="32"/>
        </w:rPr>
        <w:t>1114.59</w:t>
      </w:r>
      <w:r>
        <w:rPr>
          <w:rFonts w:ascii="Times New Roman" w:eastAsia="仿宋_GB2312" w:hAnsi="Times New Roman" w:cs="Times New Roman" w:hint="eastAsia"/>
          <w:kern w:val="0"/>
          <w:sz w:val="32"/>
          <w:szCs w:val="32"/>
        </w:rPr>
        <w:t>万元，其中：财政拨款收入</w:t>
      </w:r>
      <w:r>
        <w:rPr>
          <w:rFonts w:ascii="Times New Roman" w:eastAsia="仿宋_GB2312" w:hAnsi="Times New Roman" w:cs="Times New Roman" w:hint="eastAsia"/>
          <w:kern w:val="0"/>
          <w:sz w:val="32"/>
          <w:szCs w:val="32"/>
        </w:rPr>
        <w:t>1114.59</w:t>
      </w:r>
      <w:r>
        <w:rPr>
          <w:rFonts w:ascii="Times New Roman" w:eastAsia="仿宋_GB2312" w:hAnsi="Times New Roman" w:cs="Times New Roman" w:hint="eastAsia"/>
          <w:kern w:val="0"/>
          <w:sz w:val="32"/>
          <w:szCs w:val="32"/>
        </w:rPr>
        <w:t>万元，占</w:t>
      </w:r>
      <w:r>
        <w:rPr>
          <w:rFonts w:ascii="Times New Roman" w:eastAsia="仿宋_GB2312" w:hAnsi="Times New Roman" w:cs="Times New Roman" w:hint="eastAsia"/>
          <w:kern w:val="0"/>
          <w:sz w:val="32"/>
          <w:szCs w:val="32"/>
        </w:rPr>
        <w:t>100%</w:t>
      </w:r>
      <w:r>
        <w:rPr>
          <w:rFonts w:ascii="Times New Roman" w:eastAsia="仿宋_GB2312" w:hAnsi="Times New Roman" w:cs="Times New Roman" w:hint="eastAsia"/>
          <w:kern w:val="0"/>
          <w:sz w:val="32"/>
          <w:szCs w:val="32"/>
        </w:rPr>
        <w:t>；</w:t>
      </w:r>
      <w:r>
        <w:rPr>
          <w:rFonts w:asciiTheme="minorEastAsia" w:hAnsiTheme="minorEastAsia" w:hint="eastAsia"/>
          <w:sz w:val="32"/>
          <w:szCs w:val="32"/>
        </w:rPr>
        <w:t>上级补助收入0万元，占0%；事业收入0万元，占0%；经营收入0万元，占0%；附属单位上缴收入0万元，占0%；其他收入0万元，占0%。</w:t>
      </w:r>
    </w:p>
    <w:p w:rsidR="00E70E6B" w:rsidRDefault="00CF03AB">
      <w:pPr>
        <w:pStyle w:val="Default"/>
        <w:rPr>
          <w:rFonts w:hAnsi="黑体"/>
          <w:b/>
          <w:sz w:val="32"/>
          <w:szCs w:val="32"/>
        </w:rPr>
      </w:pPr>
      <w:r>
        <w:rPr>
          <w:rFonts w:hAnsi="黑体" w:hint="eastAsia"/>
          <w:b/>
          <w:sz w:val="32"/>
          <w:szCs w:val="32"/>
        </w:rPr>
        <w:t>三、支出决算情况说明</w:t>
      </w:r>
    </w:p>
    <w:p w:rsidR="00E70E6B" w:rsidRDefault="00CF03A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本年支出合计1114.6万元，其中：基本支出1114.6万元，占0%；项目支出0万元，占0%；上缴上级支出0万元，占0%；经营支出0万元，占0%；对附属单位补助支出0万元，占0%。</w:t>
      </w:r>
    </w:p>
    <w:p w:rsidR="00E70E6B" w:rsidRDefault="00CF03AB">
      <w:pPr>
        <w:pStyle w:val="Default"/>
        <w:rPr>
          <w:rFonts w:hAnsi="黑体"/>
          <w:b/>
          <w:sz w:val="32"/>
          <w:szCs w:val="32"/>
        </w:rPr>
      </w:pPr>
      <w:r>
        <w:rPr>
          <w:rFonts w:hAnsi="黑体" w:hint="eastAsia"/>
          <w:b/>
          <w:sz w:val="32"/>
          <w:szCs w:val="32"/>
        </w:rPr>
        <w:t>四、财政拨款收入支出决算总体情况说明</w:t>
      </w:r>
    </w:p>
    <w:p w:rsidR="00E70E6B" w:rsidRDefault="00CF03AB">
      <w:pPr>
        <w:pStyle w:val="Default"/>
        <w:ind w:firstLineChars="200" w:firstLine="640"/>
        <w:rPr>
          <w:rFonts w:asciiTheme="minorEastAsia" w:eastAsiaTheme="minorEastAsia" w:hAnsiTheme="minorEastAsia"/>
          <w:sz w:val="32"/>
          <w:szCs w:val="32"/>
        </w:rPr>
      </w:pPr>
      <w:r>
        <w:rPr>
          <w:rFonts w:ascii="Times New Roman" w:eastAsia="仿宋_GB2312" w:hAnsi="Times New Roman" w:cs="Times New Roman" w:hint="eastAsia"/>
          <w:sz w:val="32"/>
          <w:szCs w:val="32"/>
        </w:rPr>
        <w:t>2019</w:t>
      </w:r>
      <w:r>
        <w:rPr>
          <w:rFonts w:ascii="Times New Roman" w:eastAsia="仿宋_GB2312" w:hAnsi="Times New Roman" w:cs="Times New Roman" w:hint="eastAsia"/>
          <w:sz w:val="32"/>
          <w:szCs w:val="32"/>
        </w:rPr>
        <w:t>年财政拨款收入总计</w:t>
      </w:r>
      <w:r>
        <w:rPr>
          <w:rFonts w:ascii="Times New Roman" w:eastAsia="仿宋_GB2312" w:hAnsi="Times New Roman" w:cs="Times New Roman" w:hint="eastAsia"/>
          <w:sz w:val="32"/>
          <w:szCs w:val="32"/>
        </w:rPr>
        <w:t>1114.59</w:t>
      </w:r>
      <w:r>
        <w:rPr>
          <w:rFonts w:ascii="Times New Roman" w:eastAsia="仿宋_GB2312" w:hAnsi="Times New Roman" w:cs="Times New Roman" w:hint="eastAsia"/>
          <w:sz w:val="32"/>
          <w:szCs w:val="32"/>
        </w:rPr>
        <w:t>万元，与</w:t>
      </w:r>
      <w:r>
        <w:rPr>
          <w:rFonts w:ascii="Times New Roman" w:eastAsia="仿宋_GB2312" w:hAnsi="Times New Roman" w:cs="Times New Roman" w:hint="eastAsia"/>
          <w:sz w:val="32"/>
          <w:szCs w:val="32"/>
        </w:rPr>
        <w:t>2018</w:t>
      </w:r>
      <w:r>
        <w:rPr>
          <w:rFonts w:ascii="Times New Roman" w:eastAsia="仿宋_GB2312" w:hAnsi="Times New Roman" w:cs="Times New Roman" w:hint="eastAsia"/>
          <w:sz w:val="32"/>
          <w:szCs w:val="32"/>
        </w:rPr>
        <w:t>年相比，增加</w:t>
      </w:r>
      <w:r>
        <w:rPr>
          <w:rFonts w:ascii="Times New Roman" w:eastAsia="仿宋_GB2312" w:hAnsi="Times New Roman" w:cs="Times New Roman" w:hint="eastAsia"/>
          <w:sz w:val="32"/>
          <w:szCs w:val="32"/>
        </w:rPr>
        <w:t xml:space="preserve">215.83  </w:t>
      </w:r>
      <w:r>
        <w:rPr>
          <w:rFonts w:ascii="Times New Roman" w:eastAsia="仿宋_GB2312" w:hAnsi="Times New Roman" w:cs="Times New Roman" w:hint="eastAsia"/>
          <w:sz w:val="32"/>
          <w:szCs w:val="32"/>
        </w:rPr>
        <w:t>万元，增长</w:t>
      </w:r>
      <w:r>
        <w:rPr>
          <w:rFonts w:ascii="Times New Roman" w:eastAsia="仿宋_GB2312" w:hAnsi="Times New Roman" w:cs="Times New Roman" w:hint="eastAsia"/>
          <w:sz w:val="32"/>
          <w:szCs w:val="32"/>
        </w:rPr>
        <w:t>24%</w:t>
      </w:r>
      <w:r>
        <w:rPr>
          <w:rFonts w:ascii="Times New Roman" w:eastAsia="仿宋_GB2312" w:hAnsi="Times New Roman" w:cs="Times New Roman" w:hint="eastAsia"/>
          <w:sz w:val="32"/>
          <w:szCs w:val="32"/>
        </w:rPr>
        <w:t>，主要是因为机构改革，人员经费增加。支出总计</w:t>
      </w:r>
      <w:r>
        <w:rPr>
          <w:rFonts w:ascii="Times New Roman" w:eastAsia="仿宋_GB2312" w:hAnsi="Times New Roman" w:cs="Times New Roman" w:hint="eastAsia"/>
          <w:sz w:val="32"/>
          <w:szCs w:val="32"/>
        </w:rPr>
        <w:t>1114.60</w:t>
      </w:r>
      <w:r>
        <w:rPr>
          <w:rFonts w:ascii="Times New Roman" w:eastAsia="仿宋_GB2312" w:hAnsi="Times New Roman" w:cs="Times New Roman" w:hint="eastAsia"/>
          <w:sz w:val="32"/>
          <w:szCs w:val="32"/>
        </w:rPr>
        <w:t>万元，与</w:t>
      </w:r>
      <w:r>
        <w:rPr>
          <w:rFonts w:ascii="Times New Roman" w:eastAsia="仿宋_GB2312" w:hAnsi="Times New Roman" w:cs="Times New Roman" w:hint="eastAsia"/>
          <w:sz w:val="32"/>
          <w:szCs w:val="32"/>
        </w:rPr>
        <w:t>2018</w:t>
      </w:r>
      <w:r>
        <w:rPr>
          <w:rFonts w:ascii="Times New Roman" w:eastAsia="仿宋_GB2312" w:hAnsi="Times New Roman" w:cs="Times New Roman" w:hint="eastAsia"/>
          <w:sz w:val="32"/>
          <w:szCs w:val="32"/>
        </w:rPr>
        <w:t>年相比，增加</w:t>
      </w:r>
      <w:r>
        <w:rPr>
          <w:rFonts w:ascii="Times New Roman" w:eastAsia="仿宋_GB2312" w:hAnsi="Times New Roman" w:cs="Times New Roman" w:hint="eastAsia"/>
          <w:sz w:val="32"/>
          <w:szCs w:val="32"/>
        </w:rPr>
        <w:t>215.67</w:t>
      </w:r>
      <w:r>
        <w:rPr>
          <w:rFonts w:ascii="Times New Roman" w:eastAsia="仿宋_GB2312" w:hAnsi="Times New Roman" w:cs="Times New Roman" w:hint="eastAsia"/>
          <w:sz w:val="32"/>
          <w:szCs w:val="32"/>
        </w:rPr>
        <w:t>万元，增长</w:t>
      </w:r>
      <w:r>
        <w:rPr>
          <w:rFonts w:ascii="Times New Roman" w:eastAsia="仿宋_GB2312" w:hAnsi="Times New Roman" w:cs="Times New Roman" w:hint="eastAsia"/>
          <w:sz w:val="32"/>
          <w:szCs w:val="32"/>
        </w:rPr>
        <w:t>24%</w:t>
      </w:r>
      <w:r>
        <w:rPr>
          <w:rFonts w:ascii="Times New Roman" w:eastAsia="仿宋_GB2312" w:hAnsi="Times New Roman" w:cs="Times New Roman" w:hint="eastAsia"/>
          <w:sz w:val="32"/>
          <w:szCs w:val="32"/>
        </w:rPr>
        <w:t>，主要是因为机构改革，人员经费支出增加。</w:t>
      </w:r>
    </w:p>
    <w:p w:rsidR="00E70E6B" w:rsidRDefault="00CF03AB">
      <w:pPr>
        <w:pStyle w:val="Default"/>
        <w:rPr>
          <w:rFonts w:hAnsi="黑体"/>
          <w:b/>
          <w:sz w:val="32"/>
          <w:szCs w:val="32"/>
        </w:rPr>
      </w:pPr>
      <w:r>
        <w:rPr>
          <w:rFonts w:hAnsi="黑体" w:hint="eastAsia"/>
          <w:b/>
          <w:sz w:val="32"/>
          <w:szCs w:val="32"/>
        </w:rPr>
        <w:t>五、一般公共预算财政拨款支出决算情况说明</w:t>
      </w:r>
    </w:p>
    <w:p w:rsidR="00E70E6B" w:rsidRDefault="00CF03AB">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E70E6B" w:rsidRDefault="00CF03A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2019年度财政拨款支出1114.6万元，占本年支出合计的100%，与2018年相比，财政拨款支出减少215.67万元，</w:t>
      </w:r>
      <w:r>
        <w:rPr>
          <w:rFonts w:ascii="Times New Roman" w:eastAsia="仿宋_GB2312" w:hAnsi="Times New Roman" w:cs="Times New Roman" w:hint="eastAsia"/>
          <w:sz w:val="32"/>
          <w:szCs w:val="32"/>
        </w:rPr>
        <w:t>增长</w:t>
      </w:r>
      <w:r>
        <w:rPr>
          <w:rFonts w:ascii="Times New Roman" w:eastAsia="仿宋_GB2312" w:hAnsi="Times New Roman" w:cs="Times New Roman" w:hint="eastAsia"/>
          <w:sz w:val="32"/>
          <w:szCs w:val="32"/>
        </w:rPr>
        <w:t>24%</w:t>
      </w:r>
      <w:r>
        <w:rPr>
          <w:rFonts w:ascii="Times New Roman" w:eastAsia="仿宋_GB2312" w:hAnsi="Times New Roman" w:cs="Times New Roman" w:hint="eastAsia"/>
          <w:sz w:val="32"/>
          <w:szCs w:val="32"/>
        </w:rPr>
        <w:t>，主要是因为机构改革，人员经费支出增加。</w:t>
      </w:r>
    </w:p>
    <w:p w:rsidR="00E70E6B" w:rsidRDefault="00E70E6B">
      <w:pPr>
        <w:pStyle w:val="Default"/>
        <w:ind w:firstLineChars="250" w:firstLine="800"/>
        <w:rPr>
          <w:rFonts w:asciiTheme="minorEastAsia" w:eastAsiaTheme="minorEastAsia" w:hAnsiTheme="minorEastAsia"/>
          <w:sz w:val="32"/>
          <w:szCs w:val="32"/>
        </w:rPr>
      </w:pPr>
    </w:p>
    <w:p w:rsidR="00E70E6B" w:rsidRDefault="00CF03AB">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E70E6B" w:rsidRDefault="00CF03A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2019年度财政拨款支出1114.6万元，主要用于以下方面：一般公共服务（类）支出1004.2万元，占90.1%；社会保障和就业支出67.5万元，占6.05%;城乡社区支出32.9万元，占2.95%；农林水支出10万元，占0.9%。</w:t>
      </w:r>
    </w:p>
    <w:p w:rsidR="00E70E6B" w:rsidRDefault="00CF03AB">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E70E6B" w:rsidRDefault="00CF03A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2019年度财政拨款支出年初预算数为731万元，支出决算数为1114.6万元，完成年初预算的152.48%，其中：</w:t>
      </w:r>
    </w:p>
    <w:p w:rsidR="00E70E6B" w:rsidRDefault="00CF03A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1、一般公共服务支出（发展与改革事务）（行政运行）。</w:t>
      </w:r>
    </w:p>
    <w:p w:rsidR="00E70E6B" w:rsidRDefault="00CF03A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年初预算为401万元，支出决算为581.2万元，完成年初预算的144.9%，决算数大于年初预算数的主要原因是：</w:t>
      </w:r>
      <w:r>
        <w:rPr>
          <w:rFonts w:ascii="Times New Roman" w:eastAsia="仿宋_GB2312" w:hAnsi="Times New Roman" w:cs="Times New Roman" w:hint="eastAsia"/>
          <w:sz w:val="32"/>
          <w:szCs w:val="32"/>
        </w:rPr>
        <w:t>机构改革，人员经费支出增加。</w:t>
      </w:r>
    </w:p>
    <w:p w:rsidR="00E70E6B" w:rsidRDefault="00CF03A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2、一般公共服务支出(发展与改革事务)(机关服务)。</w:t>
      </w:r>
    </w:p>
    <w:p w:rsidR="00E70E6B" w:rsidRDefault="00CF03A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年初预算为68万元，支出决算为229万元，完成年初预算的336.8%，决算数大于年初预算数的主要原因是：</w:t>
      </w:r>
      <w:r>
        <w:rPr>
          <w:rFonts w:ascii="Times New Roman" w:eastAsia="仿宋_GB2312" w:hAnsi="Times New Roman" w:cs="Times New Roman" w:hint="eastAsia"/>
          <w:sz w:val="32"/>
          <w:szCs w:val="32"/>
        </w:rPr>
        <w:t>机构改革，业务经费支出增加。</w:t>
      </w:r>
    </w:p>
    <w:p w:rsidR="00E70E6B" w:rsidRDefault="00CF03A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3、一般公共服务支出(发展与改革事务)(战略规划与实施)。</w:t>
      </w:r>
    </w:p>
    <w:p w:rsidR="00E70E6B" w:rsidRDefault="00CF03A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年初预算为0万元，支出决算为34.7万元，完成年初预算的100%，决算数大于年初预算数的主要原因是：</w:t>
      </w:r>
      <w:r>
        <w:rPr>
          <w:rFonts w:ascii="Times New Roman" w:eastAsia="仿宋_GB2312" w:hAnsi="Times New Roman" w:cs="Times New Roman" w:hint="eastAsia"/>
          <w:sz w:val="32"/>
          <w:szCs w:val="32"/>
        </w:rPr>
        <w:t>工作需要，业务经费支出增加。</w:t>
      </w:r>
    </w:p>
    <w:p w:rsidR="00E70E6B" w:rsidRDefault="00CF03A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4、一般公共服务支出(发展与改革事务)(物价管理)。</w:t>
      </w:r>
    </w:p>
    <w:p w:rsidR="00E70E6B" w:rsidRDefault="00CF03AB">
      <w:pPr>
        <w:pStyle w:val="Default"/>
        <w:ind w:firstLineChars="200" w:firstLine="640"/>
        <w:rPr>
          <w:rFonts w:ascii="Times New Roman" w:eastAsia="仿宋_GB2312" w:hAnsi="Times New Roman" w:cs="Times New Roman"/>
          <w:sz w:val="32"/>
          <w:szCs w:val="32"/>
        </w:rPr>
      </w:pPr>
      <w:r>
        <w:rPr>
          <w:rFonts w:asciiTheme="minorEastAsia" w:eastAsiaTheme="minorEastAsia" w:hAnsiTheme="minorEastAsia" w:hint="eastAsia"/>
          <w:sz w:val="32"/>
          <w:szCs w:val="32"/>
        </w:rPr>
        <w:t>年初预算为150万元，支出决算为103.6万元，完成年初预算的69.1%，决算数小于年初预算数的主要原因是：</w:t>
      </w:r>
      <w:r>
        <w:rPr>
          <w:rFonts w:ascii="Times New Roman" w:eastAsia="仿宋_GB2312" w:hAnsi="Times New Roman" w:cs="Times New Roman" w:hint="eastAsia"/>
          <w:sz w:val="32"/>
          <w:szCs w:val="32"/>
        </w:rPr>
        <w:t>厉行节约，业务经费支出减少。</w:t>
      </w:r>
    </w:p>
    <w:p w:rsidR="00E70E6B" w:rsidRDefault="00CF03A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5、一般公共服务支出(发展与改革事务)(事业运行)。</w:t>
      </w:r>
    </w:p>
    <w:p w:rsidR="00E70E6B" w:rsidRDefault="00CF03AB">
      <w:pPr>
        <w:pStyle w:val="Default"/>
        <w:ind w:firstLineChars="200" w:firstLine="640"/>
        <w:rPr>
          <w:rFonts w:ascii="Times New Roman" w:eastAsia="仿宋_GB2312" w:hAnsi="Times New Roman" w:cs="Times New Roman"/>
          <w:sz w:val="32"/>
          <w:szCs w:val="32"/>
        </w:rPr>
      </w:pPr>
      <w:r>
        <w:rPr>
          <w:rFonts w:asciiTheme="minorEastAsia" w:eastAsiaTheme="minorEastAsia" w:hAnsiTheme="minorEastAsia" w:hint="eastAsia"/>
          <w:sz w:val="32"/>
          <w:szCs w:val="32"/>
        </w:rPr>
        <w:t>年初预算为5.4万元，支出决算为5.6万元，完成年初预算的103.7%，决算数大于年初预算数的主要原因是：</w:t>
      </w:r>
      <w:r>
        <w:rPr>
          <w:rFonts w:ascii="Times New Roman" w:eastAsia="仿宋_GB2312" w:hAnsi="Times New Roman" w:cs="Times New Roman" w:hint="eastAsia"/>
          <w:sz w:val="32"/>
          <w:szCs w:val="32"/>
        </w:rPr>
        <w:t>工作需要，业务经费支出增加。</w:t>
      </w:r>
    </w:p>
    <w:p w:rsidR="00E70E6B" w:rsidRDefault="00CF03A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6、一般公共服务支出(发展与改革事务)(其他发展与改革事务支出)。</w:t>
      </w:r>
    </w:p>
    <w:p w:rsidR="00E70E6B" w:rsidRDefault="00CF03AB">
      <w:pPr>
        <w:pStyle w:val="Default"/>
        <w:ind w:firstLineChars="200" w:firstLine="640"/>
        <w:rPr>
          <w:rFonts w:ascii="Times New Roman" w:eastAsia="仿宋_GB2312" w:hAnsi="Times New Roman" w:cs="Times New Roman"/>
          <w:sz w:val="32"/>
          <w:szCs w:val="32"/>
        </w:rPr>
      </w:pPr>
      <w:r>
        <w:rPr>
          <w:rFonts w:asciiTheme="minorEastAsia" w:eastAsiaTheme="minorEastAsia" w:hAnsiTheme="minorEastAsia" w:hint="eastAsia"/>
          <w:sz w:val="32"/>
          <w:szCs w:val="32"/>
        </w:rPr>
        <w:lastRenderedPageBreak/>
        <w:t>年初预算为0万元，支出决算为50万元，完成年初预算的100%，决算数大于年初预算数的主要原因是：</w:t>
      </w:r>
      <w:r>
        <w:rPr>
          <w:rFonts w:ascii="Times New Roman" w:eastAsia="仿宋_GB2312" w:hAnsi="Times New Roman" w:cs="Times New Roman" w:hint="eastAsia"/>
          <w:sz w:val="32"/>
          <w:szCs w:val="32"/>
        </w:rPr>
        <w:t>工作需要，业务经费支出增加。</w:t>
      </w:r>
    </w:p>
    <w:p w:rsidR="00E70E6B" w:rsidRDefault="00CF03A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7、社会保障和就业支出(行政事业单位离退休)(归口管理的行政单位离退休)。</w:t>
      </w:r>
    </w:p>
    <w:p w:rsidR="00E70E6B" w:rsidRDefault="00CF03A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年初预算为7.3万元，支出决算为67.5万元，完成年初预算的924.6%，决算数大于年初预算数的主要原因是：机构改革人员变动导致。</w:t>
      </w:r>
    </w:p>
    <w:p w:rsidR="00E70E6B" w:rsidRDefault="00CF03A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8、城乡社区支出(城乡社区管理事务)(其他城乡社区管理事务支出)。</w:t>
      </w:r>
    </w:p>
    <w:p w:rsidR="00E70E6B" w:rsidRDefault="00CF03A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年初预算为0万元，支出决算为32.9万元，完成年初预算的100%，决算数大于年初预算数的主要原因是：工作需要，业务费用支增加。</w:t>
      </w:r>
    </w:p>
    <w:p w:rsidR="00E70E6B" w:rsidRDefault="00CF03AB">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4、农林水支出(扶贫)(其他扶贫支出)。</w:t>
      </w:r>
    </w:p>
    <w:p w:rsidR="00E70E6B" w:rsidRDefault="00CF03A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年初预算为0万元，支出决算为10万元，完成年初预算的100%，决算数大于年初预算数的主要原因是：工作需要，业务费用支增加。</w:t>
      </w:r>
    </w:p>
    <w:p w:rsidR="00E70E6B" w:rsidRDefault="00CF03AB">
      <w:pPr>
        <w:pStyle w:val="Default"/>
        <w:rPr>
          <w:rFonts w:hAnsi="黑体"/>
          <w:b/>
          <w:sz w:val="32"/>
          <w:szCs w:val="32"/>
        </w:rPr>
      </w:pPr>
      <w:r>
        <w:rPr>
          <w:rFonts w:hAnsi="黑体" w:hint="eastAsia"/>
          <w:b/>
          <w:sz w:val="32"/>
          <w:szCs w:val="32"/>
        </w:rPr>
        <w:t>六、一般公共预算财政拨款基本支出决算情况说明</w:t>
      </w:r>
    </w:p>
    <w:p w:rsidR="00E70E6B" w:rsidRDefault="00CF03A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2019年度财政拨款基本支出1114.6万元，其中：人员经费829.2万元，占基本支出的82.6%,主要包括基本工资、津贴补贴、奖金、伙食补助费、绩效工资、机关事业单位基本养老保险缴费、职工基本医疗保险缴费、其他社会保障缴费、住房公积金、其他工资福利支出；公用经费285.4万元，占基本支出的28.4%，主要包括办公费、印刷费、水费、电费、邮电费、差旅费、公务接待费、工会经费、福利费、其他交通费用、其他商品和服务支出。</w:t>
      </w:r>
    </w:p>
    <w:p w:rsidR="00E70E6B" w:rsidRDefault="00CF03AB">
      <w:pPr>
        <w:pStyle w:val="Default"/>
        <w:rPr>
          <w:rFonts w:hAnsi="黑体"/>
          <w:b/>
          <w:sz w:val="32"/>
          <w:szCs w:val="32"/>
        </w:rPr>
      </w:pPr>
      <w:r>
        <w:rPr>
          <w:rFonts w:hAnsi="黑体" w:hint="eastAsia"/>
          <w:b/>
          <w:sz w:val="32"/>
          <w:szCs w:val="32"/>
        </w:rPr>
        <w:t>七、一般公共预算财政拨款三公经费支出决算情况说明</w:t>
      </w:r>
    </w:p>
    <w:p w:rsidR="00E70E6B" w:rsidRDefault="00CF03AB">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E70E6B" w:rsidRDefault="00CF03A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“三公”经费财政拨款支出预算为5万元，支出决算为0.7万元，完成预算的14%，其中：</w:t>
      </w:r>
    </w:p>
    <w:p w:rsidR="00E70E6B" w:rsidRDefault="00CF03A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因公出国（境）费支出预算为0万元，支出决算为0万元，完成预算的</w:t>
      </w:r>
      <w:r>
        <w:rPr>
          <w:rFonts w:asciiTheme="minorEastAsia" w:eastAsiaTheme="minorEastAsia" w:hAnsiTheme="minorEastAsia" w:hint="eastAsia"/>
          <w:sz w:val="32"/>
          <w:szCs w:val="32"/>
        </w:rPr>
        <w:lastRenderedPageBreak/>
        <w:t>0%。</w:t>
      </w:r>
    </w:p>
    <w:p w:rsidR="00E70E6B" w:rsidRDefault="00CF03A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公务接待费支出预算为5万元，支出决算为0.7万元，完成预算的14%，决算数小于年初预算数的主要原因是严格控制三公经费支出，与上年相比增加0.12万元，增长20%,增长的主要原因是机构改革，人员增加。</w:t>
      </w:r>
    </w:p>
    <w:p w:rsidR="00E70E6B" w:rsidRDefault="00CF03A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公务用车购置费及运行维护费支出预算为0万元，支出决算为0万元，完成预算的0%。</w:t>
      </w:r>
    </w:p>
    <w:p w:rsidR="00E70E6B" w:rsidRDefault="00CF03AB">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E70E6B" w:rsidRDefault="00CF03A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2019年度“三公”经费财政拨款支出决算中，公务接待费支出决算0.7万元，占100%,因公出国（境）费支出决算0万元，占0%,公务用车购置费及运行维护费支出决算0万元，占0%。其中：</w:t>
      </w:r>
    </w:p>
    <w:p w:rsidR="00E70E6B" w:rsidRDefault="00CF03A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1、因公出国（境）费支出决算为0万元，全年安排因公出国（境）团组0个，累计0人次。</w:t>
      </w:r>
    </w:p>
    <w:p w:rsidR="00E70E6B" w:rsidRDefault="00CF03AB">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2、公务接待费支出决算为0.7万元，全年共接待来访团组13个、来宾76人次，主要是项目现场调研、项目考察等发生的接待支出。</w:t>
      </w:r>
    </w:p>
    <w:p w:rsidR="00E70E6B" w:rsidRDefault="00CF03AB">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3、公务用车购置费及运行维护费支出决算为0万元，其中：公务用车购置费0万元</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公务用车运行维护费0万元，截止2019年12月31日，我单位开支财政拨款的公务用车保有量为0辆。</w:t>
      </w:r>
    </w:p>
    <w:p w:rsidR="00E70E6B" w:rsidRDefault="00CF03AB">
      <w:pPr>
        <w:pStyle w:val="Default"/>
        <w:rPr>
          <w:rFonts w:hAnsi="黑体"/>
          <w:b/>
          <w:sz w:val="32"/>
          <w:szCs w:val="32"/>
        </w:rPr>
      </w:pPr>
      <w:r>
        <w:rPr>
          <w:rFonts w:hAnsi="黑体" w:hint="eastAsia"/>
          <w:b/>
          <w:sz w:val="32"/>
          <w:szCs w:val="32"/>
        </w:rPr>
        <w:t>八、政府性基金预算收入支出决算情况</w:t>
      </w:r>
    </w:p>
    <w:p w:rsidR="00E70E6B" w:rsidRDefault="00CF03AB">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2019年度政府性基金预算财政拨款收入0万元；年初结转和结余</w:t>
      </w:r>
      <w:r w:rsidR="00701639">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万元；支出0万元，其中基本支出0万元，项目支出0万元；年末结转和结余0万元。本单位无政府性基金收支。</w:t>
      </w:r>
    </w:p>
    <w:p w:rsidR="00E70E6B" w:rsidRDefault="00CF03AB">
      <w:pPr>
        <w:pStyle w:val="Default"/>
        <w:rPr>
          <w:rFonts w:hAnsi="黑体"/>
          <w:b/>
          <w:sz w:val="32"/>
          <w:szCs w:val="32"/>
        </w:rPr>
      </w:pPr>
      <w:r>
        <w:rPr>
          <w:rFonts w:hAnsi="黑体" w:hint="eastAsia"/>
          <w:b/>
          <w:sz w:val="32"/>
          <w:szCs w:val="32"/>
        </w:rPr>
        <w:t>九、关于2019年度预算绩效情况说明</w:t>
      </w:r>
    </w:p>
    <w:p w:rsidR="00E70E6B" w:rsidRDefault="00CF03AB">
      <w:pPr>
        <w:spacing w:line="360" w:lineRule="auto"/>
        <w:ind w:firstLine="640"/>
        <w:rPr>
          <w:rFonts w:ascii="仿宋_GB2312" w:eastAsia="仿宋_GB2312" w:hAnsi="仿宋_GB2312" w:cs="仿宋_GB2312"/>
          <w:sz w:val="32"/>
        </w:rPr>
      </w:pPr>
      <w:r>
        <w:rPr>
          <w:rFonts w:ascii="仿宋_GB2312" w:eastAsia="仿宋_GB2312" w:hAnsi="仿宋_GB2312" w:cs="仿宋_GB2312" w:hint="eastAsia"/>
          <w:sz w:val="32"/>
        </w:rPr>
        <w:t>按照上级要求，区发改局重点完成了重点项目规划及前期工作，维护全区市场价格稳定，做好年度投资项目的节能审查，加快推进信用监督、</w:t>
      </w:r>
      <w:r>
        <w:rPr>
          <w:rFonts w:ascii="仿宋_GB2312" w:eastAsia="仿宋_GB2312" w:hAnsi="仿宋_GB2312" w:cs="仿宋_GB2312" w:hint="eastAsia"/>
          <w:sz w:val="32"/>
        </w:rPr>
        <w:lastRenderedPageBreak/>
        <w:t>警示和惩戒机制，维护全区经济发展秩序。</w:t>
      </w:r>
    </w:p>
    <w:p w:rsidR="00E70E6B" w:rsidRDefault="00CF03AB">
      <w:pPr>
        <w:pStyle w:val="Default"/>
        <w:rPr>
          <w:rFonts w:hAnsi="黑体"/>
          <w:b/>
          <w:sz w:val="32"/>
          <w:szCs w:val="32"/>
        </w:rPr>
      </w:pPr>
      <w:r>
        <w:rPr>
          <w:rFonts w:hAnsi="黑体" w:hint="eastAsia"/>
          <w:b/>
          <w:sz w:val="32"/>
          <w:szCs w:val="32"/>
        </w:rPr>
        <w:t>十、其他重要事项情况说明</w:t>
      </w:r>
    </w:p>
    <w:p w:rsidR="00E70E6B" w:rsidRDefault="00CF03AB">
      <w:pPr>
        <w:ind w:firstLineChars="150" w:firstLine="482"/>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（一）机关运行经费支出情况</w:t>
      </w:r>
    </w:p>
    <w:p w:rsidR="00E70E6B" w:rsidRDefault="00CF03AB">
      <w:pPr>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本部门2019 年度机关运行经费支出285.4万元，比年初预算数增加231.1万元，增长425.6%。主要原因是：机构改革，人员增加，且工作业务需要。</w:t>
      </w:r>
    </w:p>
    <w:p w:rsidR="00E70E6B" w:rsidRDefault="00CF03AB">
      <w:pPr>
        <w:ind w:firstLineChars="200" w:firstLine="643"/>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（二）一般性支出情况</w:t>
      </w:r>
    </w:p>
    <w:p w:rsidR="00E70E6B" w:rsidRDefault="00CF03AB">
      <w:pPr>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2019年本部门开支会议费0万元，人数0人；开支培训费0万元，人数0人；</w:t>
      </w:r>
      <w:r w:rsidR="00701639">
        <w:rPr>
          <w:rFonts w:asciiTheme="minorEastAsia" w:hAnsiTheme="minorEastAsia" w:cs="黑体" w:hint="eastAsia"/>
          <w:color w:val="000000"/>
          <w:kern w:val="0"/>
          <w:sz w:val="32"/>
          <w:szCs w:val="32"/>
        </w:rPr>
        <w:t>未举办</w:t>
      </w:r>
      <w:r>
        <w:rPr>
          <w:rFonts w:asciiTheme="minorEastAsia" w:hAnsiTheme="minorEastAsia" w:cs="黑体" w:hint="eastAsia"/>
          <w:color w:val="000000"/>
          <w:kern w:val="0"/>
          <w:sz w:val="32"/>
          <w:szCs w:val="32"/>
        </w:rPr>
        <w:t>节庆、晚会、论坛、赛事活动，开支0万元。</w:t>
      </w:r>
    </w:p>
    <w:p w:rsidR="00E70E6B" w:rsidRDefault="00CF03AB">
      <w:pPr>
        <w:ind w:firstLineChars="200" w:firstLine="643"/>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（三）政府采购支出情况</w:t>
      </w:r>
    </w:p>
    <w:p w:rsidR="00E70E6B" w:rsidRDefault="00CF03AB">
      <w:pPr>
        <w:ind w:firstLineChars="200" w:firstLine="640"/>
        <w:rPr>
          <w:rFonts w:asciiTheme="minorEastAsia" w:hAnsiTheme="minorEastAsia" w:cs="黑体"/>
          <w:i/>
          <w:color w:val="FF0000"/>
          <w:kern w:val="0"/>
          <w:sz w:val="32"/>
          <w:szCs w:val="32"/>
        </w:rPr>
      </w:pPr>
      <w:r>
        <w:rPr>
          <w:rFonts w:asciiTheme="minorEastAsia" w:hAnsiTheme="minorEastAsia" w:cs="黑体" w:hint="eastAsia"/>
          <w:color w:val="000000"/>
          <w:kern w:val="0"/>
          <w:sz w:val="32"/>
          <w:szCs w:val="32"/>
        </w:rPr>
        <w:t>本部门2019年度政府采购支出总额0万元，其中：政府采购货物支出0万元、政府采购工程支出0万元、政府采购服务支出0万元。授予中小企业合同金额0万元，占政府采购支出总额的0%，其中：授予小微企业合同金额0万元，占政府采购支出总额的0%。</w:t>
      </w:r>
    </w:p>
    <w:p w:rsidR="00E70E6B" w:rsidRDefault="00CF03AB">
      <w:pPr>
        <w:ind w:firstLineChars="150" w:firstLine="482"/>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（四）国有资产占用情况</w:t>
      </w:r>
    </w:p>
    <w:p w:rsidR="00E70E6B" w:rsidRDefault="00CF03AB">
      <w:pPr>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截至2019年12月31日，本单位共有车辆0辆，其中，领导干部用车XX辆、机要通信用车0辆、应急保障用车0辆、执法执勤用车0辆、特种专业技术用车0辆、其他用车0辆，其他用车主要是0；单位价值50万元以上通用设备0台（套）；单位价值100万元以上专用设备0台（套）。</w:t>
      </w:r>
    </w:p>
    <w:p w:rsidR="00E70E6B" w:rsidRDefault="00CF03AB">
      <w:pPr>
        <w:widowControl/>
        <w:jc w:val="left"/>
        <w:rPr>
          <w:rFonts w:asciiTheme="minorEastAsia" w:hAnsiTheme="minorEastAsia" w:cs="黑体"/>
          <w:color w:val="000000"/>
          <w:kern w:val="0"/>
          <w:sz w:val="32"/>
          <w:szCs w:val="32"/>
        </w:rPr>
      </w:pPr>
      <w:r>
        <w:rPr>
          <w:rFonts w:asciiTheme="minorEastAsia" w:hAnsiTheme="minorEastAsia" w:cs="黑体"/>
          <w:color w:val="000000"/>
          <w:kern w:val="0"/>
          <w:sz w:val="32"/>
          <w:szCs w:val="32"/>
        </w:rPr>
        <w:br w:type="page"/>
      </w:r>
    </w:p>
    <w:p w:rsidR="00E70E6B" w:rsidRDefault="00E70E6B">
      <w:pPr>
        <w:ind w:firstLineChars="200" w:firstLine="640"/>
        <w:rPr>
          <w:rFonts w:asciiTheme="minorEastAsia" w:hAnsiTheme="minorEastAsia" w:cs="黑体"/>
          <w:color w:val="000000"/>
          <w:kern w:val="0"/>
          <w:sz w:val="32"/>
          <w:szCs w:val="32"/>
        </w:rPr>
      </w:pPr>
    </w:p>
    <w:p w:rsidR="00E70E6B" w:rsidRDefault="00E70E6B">
      <w:pPr>
        <w:pStyle w:val="Default"/>
        <w:jc w:val="center"/>
        <w:rPr>
          <w:sz w:val="72"/>
          <w:szCs w:val="72"/>
        </w:rPr>
      </w:pPr>
    </w:p>
    <w:p w:rsidR="00E70E6B" w:rsidRDefault="00E70E6B">
      <w:pPr>
        <w:pStyle w:val="Default"/>
        <w:jc w:val="center"/>
        <w:rPr>
          <w:sz w:val="72"/>
          <w:szCs w:val="72"/>
        </w:rPr>
      </w:pPr>
    </w:p>
    <w:p w:rsidR="00E70E6B" w:rsidRDefault="00E70E6B">
      <w:pPr>
        <w:pStyle w:val="Default"/>
        <w:jc w:val="center"/>
        <w:rPr>
          <w:sz w:val="72"/>
          <w:szCs w:val="72"/>
        </w:rPr>
      </w:pPr>
    </w:p>
    <w:p w:rsidR="00E70E6B" w:rsidRDefault="00E70E6B">
      <w:pPr>
        <w:pStyle w:val="Default"/>
        <w:jc w:val="center"/>
        <w:rPr>
          <w:sz w:val="72"/>
          <w:szCs w:val="72"/>
        </w:rPr>
      </w:pPr>
    </w:p>
    <w:p w:rsidR="00E70E6B" w:rsidRDefault="00E70E6B">
      <w:pPr>
        <w:pStyle w:val="Default"/>
        <w:jc w:val="center"/>
        <w:rPr>
          <w:sz w:val="72"/>
          <w:szCs w:val="72"/>
        </w:rPr>
      </w:pPr>
    </w:p>
    <w:p w:rsidR="00E70E6B" w:rsidRDefault="00E70E6B">
      <w:pPr>
        <w:pStyle w:val="Default"/>
        <w:jc w:val="center"/>
        <w:rPr>
          <w:sz w:val="72"/>
          <w:szCs w:val="72"/>
        </w:rPr>
      </w:pPr>
    </w:p>
    <w:p w:rsidR="00E70E6B" w:rsidRDefault="00CF03AB">
      <w:pPr>
        <w:pStyle w:val="Default"/>
        <w:jc w:val="center"/>
        <w:rPr>
          <w:sz w:val="72"/>
          <w:szCs w:val="72"/>
        </w:rPr>
      </w:pPr>
      <w:r>
        <w:rPr>
          <w:rFonts w:hint="eastAsia"/>
          <w:sz w:val="72"/>
          <w:szCs w:val="72"/>
        </w:rPr>
        <w:t>第四部分</w:t>
      </w:r>
    </w:p>
    <w:p w:rsidR="00E70E6B" w:rsidRDefault="00E70E6B">
      <w:pPr>
        <w:jc w:val="center"/>
        <w:rPr>
          <w:rFonts w:ascii="黑体" w:eastAsia="黑体" w:cs="黑体"/>
          <w:color w:val="000000"/>
          <w:kern w:val="0"/>
          <w:sz w:val="70"/>
          <w:szCs w:val="70"/>
        </w:rPr>
      </w:pPr>
    </w:p>
    <w:p w:rsidR="00E70E6B" w:rsidRDefault="00CF03AB">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E70E6B" w:rsidRDefault="00CF03AB">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E70E6B" w:rsidRDefault="00E70E6B">
      <w:pPr>
        <w:ind w:firstLineChars="200" w:firstLine="640"/>
        <w:jc w:val="left"/>
        <w:rPr>
          <w:rFonts w:asciiTheme="minorEastAsia" w:hAnsiTheme="minorEastAsia" w:cs="黑体"/>
          <w:color w:val="000000"/>
          <w:kern w:val="0"/>
          <w:sz w:val="32"/>
          <w:szCs w:val="32"/>
        </w:rPr>
      </w:pPr>
    </w:p>
    <w:p w:rsidR="00E70E6B" w:rsidRDefault="00CF03AB">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E70E6B" w:rsidRDefault="00CF03AB">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E70E6B" w:rsidRDefault="00E70E6B">
      <w:pPr>
        <w:widowControl/>
        <w:spacing w:line="600" w:lineRule="exact"/>
        <w:rPr>
          <w:rFonts w:ascii="Times New Roman" w:eastAsia="黑体" w:hAnsi="Times New Roman" w:cs="Times New Roman"/>
          <w:bCs/>
          <w:kern w:val="0"/>
          <w:sz w:val="32"/>
          <w:szCs w:val="32"/>
        </w:rPr>
      </w:pPr>
    </w:p>
    <w:p w:rsidR="00E70E6B" w:rsidRDefault="00CF03AB">
      <w:pPr>
        <w:widowControl/>
        <w:jc w:val="left"/>
        <w:rPr>
          <w:sz w:val="72"/>
          <w:szCs w:val="72"/>
        </w:rPr>
      </w:pPr>
      <w:r>
        <w:rPr>
          <w:rFonts w:asciiTheme="minorEastAsia" w:hAnsiTheme="minorEastAsia"/>
          <w:i/>
          <w:color w:val="FF0000"/>
          <w:sz w:val="32"/>
          <w:szCs w:val="32"/>
        </w:rPr>
        <w:br w:type="page"/>
      </w:r>
    </w:p>
    <w:p w:rsidR="00E70E6B" w:rsidRDefault="00E70E6B">
      <w:pPr>
        <w:pStyle w:val="Default"/>
        <w:jc w:val="center"/>
        <w:rPr>
          <w:sz w:val="72"/>
          <w:szCs w:val="72"/>
        </w:rPr>
      </w:pPr>
    </w:p>
    <w:p w:rsidR="00E70E6B" w:rsidRDefault="00E70E6B">
      <w:pPr>
        <w:pStyle w:val="Default"/>
        <w:jc w:val="center"/>
        <w:rPr>
          <w:sz w:val="72"/>
          <w:szCs w:val="72"/>
        </w:rPr>
      </w:pPr>
    </w:p>
    <w:p w:rsidR="00E70E6B" w:rsidRDefault="00E70E6B">
      <w:pPr>
        <w:widowControl/>
        <w:jc w:val="left"/>
        <w:rPr>
          <w:rFonts w:ascii="黑体" w:eastAsia="黑体" w:cs="黑体"/>
          <w:color w:val="000000"/>
          <w:kern w:val="0"/>
          <w:sz w:val="70"/>
          <w:szCs w:val="70"/>
        </w:rPr>
      </w:pPr>
    </w:p>
    <w:p w:rsidR="00E70E6B" w:rsidRDefault="00E70E6B">
      <w:pPr>
        <w:jc w:val="center"/>
        <w:rPr>
          <w:rFonts w:ascii="黑体" w:eastAsia="黑体" w:cs="黑体"/>
          <w:color w:val="000000"/>
          <w:kern w:val="0"/>
          <w:sz w:val="70"/>
          <w:szCs w:val="70"/>
        </w:rPr>
      </w:pPr>
    </w:p>
    <w:sectPr w:rsidR="00E70E6B" w:rsidSect="0028406B">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12C8" w:rsidRDefault="009212C8" w:rsidP="00701639">
      <w:r>
        <w:separator/>
      </w:r>
    </w:p>
  </w:endnote>
  <w:endnote w:type="continuationSeparator" w:id="1">
    <w:p w:rsidR="009212C8" w:rsidRDefault="009212C8" w:rsidP="007016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12C8" w:rsidRDefault="009212C8" w:rsidP="00701639">
      <w:r>
        <w:separator/>
      </w:r>
    </w:p>
  </w:footnote>
  <w:footnote w:type="continuationSeparator" w:id="1">
    <w:p w:rsidR="009212C8" w:rsidRDefault="009212C8" w:rsidP="007016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658A3"/>
    <w:rsid w:val="00074155"/>
    <w:rsid w:val="000A3F69"/>
    <w:rsid w:val="00152C6D"/>
    <w:rsid w:val="00162D39"/>
    <w:rsid w:val="001A67DB"/>
    <w:rsid w:val="001D51E5"/>
    <w:rsid w:val="001E0CD3"/>
    <w:rsid w:val="001F0C3B"/>
    <w:rsid w:val="00214427"/>
    <w:rsid w:val="00265724"/>
    <w:rsid w:val="0027426B"/>
    <w:rsid w:val="0028406B"/>
    <w:rsid w:val="003479BD"/>
    <w:rsid w:val="003768D5"/>
    <w:rsid w:val="004506F9"/>
    <w:rsid w:val="004717A2"/>
    <w:rsid w:val="00491741"/>
    <w:rsid w:val="00500E5F"/>
    <w:rsid w:val="005122EF"/>
    <w:rsid w:val="00517C33"/>
    <w:rsid w:val="00523644"/>
    <w:rsid w:val="0054069E"/>
    <w:rsid w:val="005767CC"/>
    <w:rsid w:val="00590D9F"/>
    <w:rsid w:val="00595D26"/>
    <w:rsid w:val="005A74E6"/>
    <w:rsid w:val="005D4D55"/>
    <w:rsid w:val="005E2CFB"/>
    <w:rsid w:val="0062378F"/>
    <w:rsid w:val="00651EEC"/>
    <w:rsid w:val="00652413"/>
    <w:rsid w:val="006A351B"/>
    <w:rsid w:val="006B0422"/>
    <w:rsid w:val="006C1B53"/>
    <w:rsid w:val="006D7730"/>
    <w:rsid w:val="006E5284"/>
    <w:rsid w:val="006F3EB5"/>
    <w:rsid w:val="00701639"/>
    <w:rsid w:val="00702E34"/>
    <w:rsid w:val="00704395"/>
    <w:rsid w:val="00720FF1"/>
    <w:rsid w:val="00812ED5"/>
    <w:rsid w:val="008277D9"/>
    <w:rsid w:val="008A3E8D"/>
    <w:rsid w:val="009212C8"/>
    <w:rsid w:val="009237C4"/>
    <w:rsid w:val="00950252"/>
    <w:rsid w:val="00967F5D"/>
    <w:rsid w:val="009A0F95"/>
    <w:rsid w:val="009B3ADF"/>
    <w:rsid w:val="009C3B52"/>
    <w:rsid w:val="00A42218"/>
    <w:rsid w:val="00A70249"/>
    <w:rsid w:val="00B33BEA"/>
    <w:rsid w:val="00B57C9F"/>
    <w:rsid w:val="00B845B3"/>
    <w:rsid w:val="00B85D8B"/>
    <w:rsid w:val="00BC7861"/>
    <w:rsid w:val="00BE3674"/>
    <w:rsid w:val="00C3049A"/>
    <w:rsid w:val="00C31B1E"/>
    <w:rsid w:val="00C77645"/>
    <w:rsid w:val="00CE04C3"/>
    <w:rsid w:val="00CE76A0"/>
    <w:rsid w:val="00CF03AB"/>
    <w:rsid w:val="00D148C6"/>
    <w:rsid w:val="00D512AC"/>
    <w:rsid w:val="00DD06FF"/>
    <w:rsid w:val="00DD5FE9"/>
    <w:rsid w:val="00E00C7A"/>
    <w:rsid w:val="00E55B68"/>
    <w:rsid w:val="00E70E6B"/>
    <w:rsid w:val="00F74360"/>
    <w:rsid w:val="00FB462F"/>
    <w:rsid w:val="00FE16FA"/>
    <w:rsid w:val="00FE328A"/>
    <w:rsid w:val="13302A8D"/>
    <w:rsid w:val="215642B7"/>
    <w:rsid w:val="3EA4223E"/>
    <w:rsid w:val="44A50392"/>
    <w:rsid w:val="51087931"/>
    <w:rsid w:val="55AA6FC5"/>
    <w:rsid w:val="686A48EC"/>
    <w:rsid w:val="6AC308CC"/>
    <w:rsid w:val="76100F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06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28406B"/>
    <w:rPr>
      <w:sz w:val="18"/>
      <w:szCs w:val="18"/>
    </w:rPr>
  </w:style>
  <w:style w:type="paragraph" w:styleId="a4">
    <w:name w:val="footer"/>
    <w:basedOn w:val="a"/>
    <w:link w:val="Char0"/>
    <w:uiPriority w:val="99"/>
    <w:unhideWhenUsed/>
    <w:qFormat/>
    <w:rsid w:val="0028406B"/>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28406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28406B"/>
    <w:rPr>
      <w:sz w:val="18"/>
      <w:szCs w:val="18"/>
    </w:rPr>
  </w:style>
  <w:style w:type="character" w:customStyle="1" w:styleId="Char0">
    <w:name w:val="页脚 Char"/>
    <w:basedOn w:val="a0"/>
    <w:link w:val="a4"/>
    <w:uiPriority w:val="99"/>
    <w:qFormat/>
    <w:rsid w:val="0028406B"/>
    <w:rPr>
      <w:sz w:val="18"/>
      <w:szCs w:val="18"/>
    </w:rPr>
  </w:style>
  <w:style w:type="paragraph" w:customStyle="1" w:styleId="Default">
    <w:name w:val="Default"/>
    <w:qFormat/>
    <w:rsid w:val="0028406B"/>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28406B"/>
    <w:pPr>
      <w:ind w:firstLineChars="200" w:firstLine="420"/>
    </w:pPr>
  </w:style>
  <w:style w:type="character" w:customStyle="1" w:styleId="Char">
    <w:name w:val="批注框文本 Char"/>
    <w:basedOn w:val="a0"/>
    <w:link w:val="a3"/>
    <w:uiPriority w:val="99"/>
    <w:semiHidden/>
    <w:rsid w:val="0028406B"/>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7ECA967F-99A7-44AE-8CB3-A0222E97AF6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682</Words>
  <Characters>3894</Characters>
  <Application>Microsoft Office Word</Application>
  <DocSecurity>0</DocSecurity>
  <Lines>32</Lines>
  <Paragraphs>9</Paragraphs>
  <ScaleCrop>false</ScaleCrop>
  <Company>Microsoft</Company>
  <LinksUpToDate>false</LinksUpToDate>
  <CharactersWithSpaces>4567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32</cp:revision>
  <cp:lastPrinted>2020-07-15T07:25:00Z</cp:lastPrinted>
  <dcterms:created xsi:type="dcterms:W3CDTF">2020-07-02T02:32:00Z</dcterms:created>
  <dcterms:modified xsi:type="dcterms:W3CDTF">2021-06-03T01:34:00Z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