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怀化市鹤城区凉亭坳小学部门决算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第一部分凉亭坳小学概况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五、</w:t>
      </w:r>
      <w:r>
        <w:rPr>
          <w:rFonts w:hint="eastAsia" w:ascii="仿宋_GB2312" w:hAnsi="仿宋_GB2312" w:cs="仿宋_GB2312"/>
          <w:kern w:val="0"/>
          <w:sz w:val="28"/>
          <w:szCs w:val="28"/>
        </w:rPr>
        <w:t>决算收支增减变化情况说明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六、一般公共预算财政拨款支出决算情况说明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七、一般公共预算财政拨款基本支出决算情况说明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ascii="仿宋_GB2312" w:hAnsi="仿宋_GB2312" w:cs="仿宋_GB2312"/>
          <w:kern w:val="0"/>
          <w:sz w:val="28"/>
          <w:szCs w:val="28"/>
        </w:rPr>
        <w:t>八、一般公共预算财政拨款三公经费支出决算情况说明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九</w:t>
      </w:r>
      <w:r>
        <w:rPr>
          <w:rFonts w:ascii="仿宋_GB2312" w:hAnsi="仿宋_GB2312" w:cs="仿宋_GB2312"/>
          <w:kern w:val="0"/>
          <w:sz w:val="28"/>
          <w:szCs w:val="28"/>
        </w:rPr>
        <w:t>、</w:t>
      </w:r>
      <w:r>
        <w:rPr>
          <w:rFonts w:hint="eastAsia" w:ascii="仿宋_GB2312" w:hAnsi="仿宋_GB2312" w:cs="仿宋_GB2312"/>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w:t>
      </w:r>
      <w:r>
        <w:rPr>
          <w:rFonts w:ascii="仿宋_GB2312" w:hAnsi="仿宋_GB2312" w:cs="仿宋_GB2312"/>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kern w:val="0"/>
          <w:sz w:val="28"/>
          <w:szCs w:val="28"/>
        </w:rPr>
      </w:pPr>
      <w:r>
        <w:rPr>
          <w:rFonts w:hint="eastAsia" w:ascii="仿宋_GB2312" w:hAnsi="仿宋_GB2312" w:cs="仿宋_GB2312"/>
          <w:kern w:val="0"/>
          <w:sz w:val="28"/>
          <w:szCs w:val="28"/>
        </w:rPr>
        <w:t>十一</w:t>
      </w:r>
      <w:r>
        <w:rPr>
          <w:rFonts w:ascii="仿宋_GB2312" w:hAnsi="仿宋_GB2312" w:cs="仿宋_GB2312"/>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怀化市鹤城区凉亭坳小学概况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怀化市鹤城区凉亭坳小学是全额拨款的事业单位。</w:t>
      </w:r>
    </w:p>
    <w:p>
      <w:pPr>
        <w:spacing w:line="600" w:lineRule="exact"/>
        <w:ind w:firstLine="800" w:firstLineChars="250"/>
        <w:rPr>
          <w:rFonts w:asciiTheme="minorEastAsia" w:hAnsiTheme="minorEastAsia"/>
          <w:kern w:val="0"/>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主要工作职责：全面贯彻党的教育方针，落实九年义务教育各项政策，保障学生受教育的各项权利，维护教师职工各项权益。</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520" w:lineRule="exact"/>
        <w:ind w:firstLine="640" w:firstLineChars="200"/>
        <w:rPr>
          <w:rFonts w:asciiTheme="minorEastAsia" w:hAnsiTheme="minorEastAsia"/>
          <w:b/>
          <w:bCs/>
          <w:kern w:val="0"/>
          <w:sz w:val="32"/>
          <w:szCs w:val="32"/>
        </w:rPr>
      </w:pPr>
      <w:r>
        <w:rPr>
          <w:rFonts w:hint="eastAsia" w:asciiTheme="minorEastAsia" w:hAnsiTheme="minorEastAsia"/>
          <w:bCs/>
          <w:kern w:val="0"/>
          <w:sz w:val="32"/>
          <w:szCs w:val="32"/>
        </w:rPr>
        <w:t>（一）内设机构设置。</w:t>
      </w:r>
      <w:r>
        <w:rPr>
          <w:rFonts w:hint="eastAsia" w:cs="仿宋" w:asciiTheme="minorEastAsia" w:hAnsiTheme="minorEastAsia"/>
          <w:sz w:val="32"/>
          <w:szCs w:val="32"/>
        </w:rPr>
        <w:t>内设5个办公室，分别为办公室、教务处、总务处、德育处、教研室。</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（二）决算单位构成：怀化市鹤城区凉亭坳小学本级</w:t>
      </w:r>
      <w:r>
        <w:rPr>
          <w:rFonts w:hint="eastAsia" w:ascii="Times New Roman" w:hAnsi="Times New Roman" w:eastAsia="仿宋_GB2312" w:cs="Times New Roman"/>
          <w:bCs/>
          <w:kern w:val="0"/>
          <w:sz w:val="32"/>
          <w:szCs w:val="32"/>
        </w:rPr>
        <w:t>。</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numPr>
          <w:ilvl w:val="0"/>
          <w:numId w:val="2"/>
        </w:numPr>
        <w:rPr>
          <w:rFonts w:hAnsi="黑体"/>
          <w:b/>
          <w:sz w:val="32"/>
          <w:szCs w:val="32"/>
        </w:rPr>
      </w:pPr>
      <w:r>
        <w:rPr>
          <w:rFonts w:hint="eastAsia" w:hAnsi="黑体"/>
          <w:b/>
          <w:sz w:val="32"/>
          <w:szCs w:val="32"/>
        </w:rPr>
        <w:t>收入支出决算总体情况说明</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 年度收入总计</w:t>
      </w:r>
      <w:r>
        <w:rPr>
          <w:rFonts w:hint="eastAsia" w:asciiTheme="minorEastAsia" w:hAnsiTheme="minorEastAsia" w:eastAsiaTheme="minorEastAsia"/>
          <w:sz w:val="32"/>
          <w:szCs w:val="32"/>
        </w:rPr>
        <w:t>559.13</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 年度支出总计</w:t>
      </w:r>
      <w:r>
        <w:rPr>
          <w:rFonts w:hint="eastAsia" w:asciiTheme="minorEastAsia" w:hAnsiTheme="minorEastAsia" w:eastAsiaTheme="minorEastAsia"/>
          <w:sz w:val="32"/>
          <w:szCs w:val="32"/>
        </w:rPr>
        <w:t>559.13</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本年收入合计559.13万元，其中：财政拨款收入526.92万元，占94.3%；上级补助收入0万元，占0%；事业收入0万元，占0%；经营收入0万元，占0%；附属单位上缴收入0万元，占0%；其他收入32.2万元，占5.7%%。</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本年支出合计559.13万元，其中：基本支出406.29万元，占72.7%；项目支出152.84万元，占27.3%；上缴上级支出0万元，占0%；经营支出0万元，占0%；对附属单位补助支出0万元，占0%。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2019年度财政拨款收入总计</w:t>
      </w:r>
      <w:r>
        <w:rPr>
          <w:rFonts w:hint="eastAsia" w:asciiTheme="minorEastAsia" w:hAnsiTheme="minorEastAsia" w:eastAsiaTheme="minorEastAsia"/>
          <w:sz w:val="32"/>
          <w:szCs w:val="32"/>
        </w:rPr>
        <w:t>526.92</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9"/>
        <w:ind w:firstLine="64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2019年度财政拨款支出总计</w:t>
      </w:r>
      <w:r>
        <w:rPr>
          <w:rFonts w:hint="eastAsia" w:asciiTheme="minorEastAsia" w:hAnsiTheme="minorEastAsia" w:eastAsiaTheme="minorEastAsia"/>
          <w:sz w:val="32"/>
          <w:szCs w:val="32"/>
        </w:rPr>
        <w:t>526.92</w:t>
      </w:r>
      <w:r>
        <w:rPr>
          <w:rFonts w:hint="eastAsia" w:asciiTheme="minorEastAsia" w:hAnsiTheme="minorEastAsia" w:eastAsiaTheme="minorEastAsia"/>
          <w:color w:val="auto"/>
          <w:sz w:val="32"/>
          <w:szCs w:val="32"/>
        </w:rPr>
        <w:t>万元，由于18年学校并未单独填报决算，自19年作为新增单位开始单独报决算故无法与上年数据进行对比。</w:t>
      </w:r>
    </w:p>
    <w:p>
      <w:pPr>
        <w:pStyle w:val="9"/>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五、决算收支增减变化情况说明</w:t>
      </w:r>
    </w:p>
    <w:p>
      <w:pPr>
        <w:pStyle w:val="9"/>
        <w:ind w:firstLine="660"/>
        <w:rPr>
          <w:rFonts w:asciiTheme="minorEastAsia" w:hAnsiTheme="minorEastAsia" w:eastAsiaTheme="minorEastAsia"/>
          <w:color w:val="auto"/>
          <w:sz w:val="32"/>
          <w:szCs w:val="32"/>
        </w:rPr>
      </w:pPr>
      <w:r>
        <w:rPr>
          <w:rFonts w:hint="eastAsia" w:asciiTheme="minorEastAsia" w:hAnsiTheme="minorEastAsia" w:eastAsiaTheme="minorEastAsia"/>
          <w:b/>
          <w:color w:val="auto"/>
          <w:sz w:val="32"/>
          <w:szCs w:val="32"/>
        </w:rPr>
        <w:t>2019年决算收入合计</w:t>
      </w:r>
      <w:r>
        <w:rPr>
          <w:rFonts w:hint="eastAsia" w:asciiTheme="minorEastAsia" w:hAnsiTheme="minorEastAsia" w:eastAsiaTheme="minorEastAsia"/>
          <w:b/>
          <w:bCs/>
          <w:sz w:val="32"/>
          <w:szCs w:val="32"/>
        </w:rPr>
        <w:t>559.13</w:t>
      </w:r>
      <w:r>
        <w:rPr>
          <w:rFonts w:hint="eastAsia" w:asciiTheme="minorEastAsia" w:hAnsiTheme="minorEastAsia" w:eastAsiaTheme="minorEastAsia"/>
          <w:b/>
          <w:color w:val="auto"/>
          <w:sz w:val="32"/>
          <w:szCs w:val="32"/>
        </w:rPr>
        <w:t>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ind w:firstLine="660"/>
        <w:rPr>
          <w:rFonts w:asciiTheme="minorEastAsia" w:hAnsiTheme="minorEastAsia" w:eastAsiaTheme="minorEastAsia"/>
          <w:color w:val="auto"/>
          <w:sz w:val="32"/>
          <w:szCs w:val="32"/>
        </w:rPr>
      </w:pPr>
      <w:r>
        <w:rPr>
          <w:rFonts w:hint="eastAsia" w:asciiTheme="minorEastAsia" w:hAnsiTheme="minorEastAsia" w:eastAsiaTheme="minorEastAsia"/>
          <w:b/>
          <w:color w:val="auto"/>
          <w:sz w:val="32"/>
          <w:szCs w:val="32"/>
        </w:rPr>
        <w:t xml:space="preserve"> 2019年决算支出合计</w:t>
      </w:r>
      <w:r>
        <w:rPr>
          <w:rFonts w:hint="eastAsia" w:asciiTheme="minorEastAsia" w:hAnsiTheme="minorEastAsia" w:eastAsiaTheme="minorEastAsia"/>
          <w:b/>
          <w:bCs/>
          <w:sz w:val="32"/>
          <w:szCs w:val="32"/>
        </w:rPr>
        <w:t>559.13</w:t>
      </w:r>
      <w:r>
        <w:rPr>
          <w:rFonts w:hint="eastAsia" w:asciiTheme="minorEastAsia" w:hAnsiTheme="minorEastAsia" w:eastAsiaTheme="minorEastAsia"/>
          <w:b/>
          <w:color w:val="auto"/>
          <w:sz w:val="32"/>
          <w:szCs w:val="32"/>
        </w:rPr>
        <w:t>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rPr>
          <w:rFonts w:hAnsi="黑体"/>
          <w:b/>
          <w:sz w:val="32"/>
          <w:szCs w:val="32"/>
        </w:rPr>
      </w:pPr>
      <w:r>
        <w:rPr>
          <w:rFonts w:hint="eastAsia" w:hAnsi="黑体"/>
          <w:b/>
          <w:sz w:val="32"/>
          <w:szCs w:val="32"/>
        </w:rPr>
        <w:t>六、一般公共预算财政拨款支出决算情况说明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2019年度财政拨款支出526.92万元，占本年支出合计的94.3%，</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2019年度财政拨款支出526.92万元，主要用于以下方面：教育支出526.92万元，占比100%</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（三）财政拨款支出决算具体情况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2019年度财政拨款支出年初预算数为</w:t>
      </w:r>
      <w:r>
        <w:rPr>
          <w:rFonts w:hint="eastAsia" w:asciiTheme="minorEastAsia" w:hAnsiTheme="minorEastAsia" w:eastAsiaTheme="minorEastAsia"/>
          <w:sz w:val="32"/>
          <w:szCs w:val="32"/>
        </w:rPr>
        <w:t>526.92</w:t>
      </w:r>
      <w:r>
        <w:rPr>
          <w:rFonts w:hint="eastAsia" w:asciiTheme="minorEastAsia" w:hAnsiTheme="minorEastAsia" w:eastAsiaTheme="minorEastAsia"/>
          <w:color w:val="000000" w:themeColor="text1"/>
          <w:sz w:val="32"/>
          <w:szCs w:val="32"/>
        </w:rPr>
        <w:t>万元，支出决算数为</w:t>
      </w:r>
      <w:r>
        <w:rPr>
          <w:rFonts w:hint="eastAsia" w:asciiTheme="minorEastAsia" w:hAnsiTheme="minorEastAsia" w:eastAsiaTheme="minorEastAsia"/>
          <w:sz w:val="32"/>
          <w:szCs w:val="32"/>
        </w:rPr>
        <w:t>526.92</w:t>
      </w:r>
      <w:r>
        <w:rPr>
          <w:rFonts w:hint="eastAsia" w:asciiTheme="minorEastAsia" w:hAnsiTheme="minorEastAsia" w:eastAsiaTheme="minorEastAsia"/>
          <w:color w:val="000000" w:themeColor="text1"/>
          <w:sz w:val="32"/>
          <w:szCs w:val="32"/>
        </w:rPr>
        <w:t>万元，完成年初预算的100%，其中：</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1、教育支出205（类）普通教育02（款）小学教育02（项）。年初预算为374.09万元，支出决算为374.09万元，完成年初预算的100%.</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2、教育支出205（类）普通教育02（款）其他普通教育支出99（项）。年初预算为152.84万元，支出决算为152.84万元，完成年初预算的100%.</w:t>
      </w:r>
    </w:p>
    <w:p>
      <w:pPr>
        <w:pStyle w:val="9"/>
        <w:rPr>
          <w:rFonts w:hAnsi="黑体"/>
          <w:b/>
          <w:sz w:val="32"/>
          <w:szCs w:val="32"/>
        </w:rPr>
      </w:pPr>
      <w:r>
        <w:rPr>
          <w:rFonts w:hint="eastAsia" w:hAnsi="黑体"/>
          <w:b/>
          <w:sz w:val="32"/>
          <w:szCs w:val="32"/>
        </w:rPr>
        <w:t>七、一般公共预算财政拨款基本支出决算情况说明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526.92万元，其中：人员经费332.56万元，占基本支出的63.12%,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41.53万元，占基本支出的7.88%，主要包括办公费、印刷费、手续费、水费、电费、邮电费、差旅费、工会经费、福利费、其他商品和服务支出。</w:t>
      </w:r>
    </w:p>
    <w:p>
      <w:pPr>
        <w:pStyle w:val="9"/>
        <w:rPr>
          <w:rFonts w:hAnsi="黑体"/>
          <w:b/>
          <w:sz w:val="32"/>
          <w:szCs w:val="32"/>
        </w:rPr>
      </w:pPr>
      <w:r>
        <w:rPr>
          <w:rFonts w:hint="eastAsia" w:hAnsi="黑体"/>
          <w:b/>
          <w:sz w:val="32"/>
          <w:szCs w:val="32"/>
        </w:rPr>
        <w:t>八、一般公共预算财政拨款三公经费支出决算情况说明</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（一）“三公”经费财政拨款支出决算总体情况说明</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“三公”经费财政拨款支出预算为2万元，支出决算为0.5万元，完成预算的25%，其中：</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因公出国（境）费支出预算为0万元，支出决算为0万元，完成预算的0%。</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公务接待费支出预算为2万元，支出决算为0.5万元，完成预算的25%,决算小于预算的原因是单位厉行节约，减少支出。</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公务用车购置费及运行维护费支出预算为0万元，支出决算为0万元，完成预算的0%。</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由于18年学校并未单独填报决算，自19年作为新增单位开始单独报决算故无法与上年数据进行对比。</w:t>
      </w:r>
      <w:bookmarkStart w:id="0" w:name="_GoBack"/>
      <w:bookmarkEnd w:id="0"/>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（二）“三公”经费财政拨款支出决算具体情况说明</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2019年度“三公”经费财政拨款支出决算中，公务接待费支出决算0.5万元,因公出国（境）费支出决算0万元，公务用车购置费及运行维护费支出决算0万元。其中：</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color w:val="000000" w:themeColor="text1"/>
          <w:sz w:val="32"/>
          <w:szCs w:val="32"/>
        </w:rPr>
        <w:t>1、因公出国（境）费支出决算为0万元，全年安排因公出国（境）团组0个，累计0人次。</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2、公务接待费支出决算为0.5万元，</w:t>
      </w:r>
      <w:r>
        <w:rPr>
          <w:rFonts w:hint="eastAsia" w:asciiTheme="minorEastAsia" w:hAnsiTheme="minorEastAsia" w:eastAsiaTheme="minorEastAsia"/>
          <w:sz w:val="32"/>
          <w:szCs w:val="32"/>
        </w:rPr>
        <w:t>全年共接待来访团组25个、来宾72人次</w:t>
      </w:r>
      <w:r>
        <w:rPr>
          <w:rFonts w:hint="eastAsia" w:asciiTheme="minorEastAsia" w:hAnsiTheme="minorEastAsia" w:eastAsiaTheme="minorEastAsia"/>
          <w:color w:val="000000" w:themeColor="text1"/>
          <w:sz w:val="32"/>
          <w:szCs w:val="32"/>
        </w:rPr>
        <w:t>。</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3、公务用车购置费及运行维护费支出决算为0万元，其中：公务用车购置费0万元，公务用车运行维护费0万元，截止2019年12月31日，我单位开支财政拨款的公务用车保有量为0辆。</w:t>
      </w:r>
    </w:p>
    <w:p>
      <w:pPr>
        <w:pStyle w:val="9"/>
        <w:rPr>
          <w:rFonts w:hAnsi="黑体"/>
          <w:b/>
          <w:color w:val="000000" w:themeColor="text1"/>
          <w:sz w:val="32"/>
          <w:szCs w:val="32"/>
        </w:rPr>
      </w:pPr>
      <w:r>
        <w:rPr>
          <w:rFonts w:hint="eastAsia" w:hAnsi="黑体"/>
          <w:b/>
          <w:color w:val="000000" w:themeColor="text1"/>
          <w:sz w:val="32"/>
          <w:szCs w:val="32"/>
        </w:rPr>
        <w:t>九、政府性基金预算收入支出决算情况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000000" w:themeColor="text1"/>
          <w:sz w:val="32"/>
          <w:szCs w:val="32"/>
        </w:rPr>
      </w:pPr>
      <w:r>
        <w:rPr>
          <w:rFonts w:hint="eastAsia" w:asciiTheme="minorEastAsia" w:hAnsiTheme="minorEastAsia" w:eastAsiaTheme="minorEastAsia"/>
          <w:color w:val="000000" w:themeColor="text1"/>
          <w:sz w:val="32"/>
          <w:szCs w:val="32"/>
        </w:rPr>
        <w:t xml:space="preserve">    本单位无政府性基金。</w:t>
      </w:r>
    </w:p>
    <w:p>
      <w:pPr>
        <w:pStyle w:val="9"/>
        <w:rPr>
          <w:rFonts w:hAnsi="黑体"/>
          <w:b/>
          <w:sz w:val="32"/>
          <w:szCs w:val="32"/>
        </w:rPr>
      </w:pPr>
      <w:r>
        <w:rPr>
          <w:rFonts w:hint="eastAsia" w:hAnsi="黑体"/>
          <w:b/>
          <w:sz w:val="32"/>
          <w:szCs w:val="32"/>
        </w:rPr>
        <w:t>十、关于2019年度预算绩效情况说明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hAnsi="黑体"/>
          <w:b/>
          <w:sz w:val="32"/>
          <w:szCs w:val="32"/>
        </w:rPr>
      </w:pPr>
      <w:r>
        <w:rPr>
          <w:rFonts w:hint="eastAsia" w:hAnsi="黑体"/>
          <w:b/>
          <w:sz w:val="32"/>
          <w:szCs w:val="32"/>
        </w:rPr>
        <w:t>十一、其他重要事项情况说明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kern w:val="0"/>
          <w:sz w:val="32"/>
          <w:szCs w:val="32"/>
        </w:rPr>
        <w:t>本</w:t>
      </w:r>
      <w:r>
        <w:rPr>
          <w:rFonts w:hint="eastAsia" w:cs="黑体" w:asciiTheme="minorEastAsia" w:hAnsiTheme="minorEastAsia"/>
          <w:color w:val="000000"/>
          <w:kern w:val="0"/>
          <w:sz w:val="32"/>
          <w:szCs w:val="32"/>
        </w:rPr>
        <w:t>部门2019 年度机关运行经费支出0万元，</w:t>
      </w:r>
      <w:r>
        <w:rPr>
          <w:rFonts w:hint="eastAsia" w:cs="黑体" w:asciiTheme="minorEastAsia" w:hAnsiTheme="minorEastAsia"/>
          <w:kern w:val="0"/>
          <w:sz w:val="32"/>
          <w:szCs w:val="32"/>
        </w:rPr>
        <w:t>因为在部门决算中机关运行经费指的是行政机关的运行经费，而学校是事业单位，所以没有机关运行经费支出</w:t>
      </w:r>
      <w:r>
        <w:rPr>
          <w:rFonts w:hint="eastAsia" w:cs="黑体" w:asciiTheme="minorEastAsia" w:hAnsiTheme="minorEastAsia"/>
          <w:color w:val="000000"/>
          <w:kern w:val="0"/>
          <w:sz w:val="32"/>
          <w:szCs w:val="32"/>
        </w:rPr>
        <w:t>。</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工会经费8.5万元；开支培训费3万元，用于外出教育教学专门培训，办公费11.4万元；印刷费0万元；水费0万元；电费5万元；取暖费0.5万元，差旅费3万元，会议费0.5万元；公务接待费0.5万元，维修（护）费6万元；物业管理费0万元，邮电费1.2万元等用于维持教育教学工作运行。</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000000" w:themeColor="text1"/>
          <w:kern w:val="0"/>
          <w:sz w:val="32"/>
          <w:szCs w:val="32"/>
        </w:rPr>
      </w:pPr>
      <w:r>
        <w:rPr>
          <w:rFonts w:hint="eastAsia" w:cs="黑体" w:asciiTheme="minorEastAsia" w:hAnsiTheme="minorEastAsia"/>
          <w:color w:val="000000" w:themeColor="text1"/>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themeColor="text1"/>
          <w:kern w:val="0"/>
          <w:sz w:val="32"/>
          <w:szCs w:val="32"/>
        </w:rPr>
      </w:pPr>
      <w:r>
        <w:rPr>
          <w:rFonts w:hint="eastAsia" w:cs="黑体" w:asciiTheme="minorEastAsia" w:hAnsiTheme="minorEastAsia"/>
          <w:b/>
          <w:color w:val="000000" w:themeColor="text1"/>
          <w:kern w:val="0"/>
          <w:sz w:val="32"/>
          <w:szCs w:val="32"/>
        </w:rPr>
        <w:t>（四）国有资产占用情况</w:t>
      </w:r>
    </w:p>
    <w:p>
      <w:pPr>
        <w:ind w:firstLine="640" w:firstLineChars="200"/>
        <w:rPr>
          <w:rFonts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000000" w:themeColor="text1"/>
          <w:kern w:val="0"/>
          <w:sz w:val="32"/>
          <w:szCs w:val="32"/>
        </w:rPr>
      </w:pPr>
      <w:r>
        <w:rPr>
          <w:rFonts w:cs="黑体" w:asciiTheme="minorEastAsia" w:hAnsiTheme="minorEastAsia"/>
          <w:color w:val="000000" w:themeColor="text1"/>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spacing w:line="600" w:lineRule="exact"/>
        <w:ind w:firstLine="640" w:firstLineChars="200"/>
        <w:rPr>
          <w:rFonts w:cs="Times New Roman" w:asciiTheme="minorEastAsia" w:hAnsiTheme="minorEastAsia"/>
          <w:sz w:val="32"/>
          <w:szCs w:val="32"/>
        </w:rPr>
      </w:pPr>
      <w:r>
        <w:rPr>
          <w:rFonts w:hint="eastAsia" w:cs="宋体" w:asciiTheme="minorEastAsia" w:hAnsiTheme="minorEastAsia"/>
          <w:sz w:val="32"/>
          <w:szCs w:val="32"/>
        </w:rPr>
        <w:t>1、怀化市鹤城区凉亭坳小学是全额拨款的事业单位。</w:t>
      </w:r>
      <w:r>
        <w:rPr>
          <w:rFonts w:hint="eastAsia" w:cs="Times New Roman" w:asciiTheme="minorEastAsia" w:hAnsiTheme="minorEastAsia"/>
          <w:sz w:val="32"/>
          <w:szCs w:val="32"/>
        </w:rPr>
        <w:t>内设5个办公室，分别为办公室、教务处、总务处、德育处、教研室。</w:t>
      </w:r>
    </w:p>
    <w:p>
      <w:pPr>
        <w:ind w:firstLine="640" w:firstLineChars="200"/>
        <w:rPr>
          <w:rFonts w:cs="宋体" w:asciiTheme="minorEastAsia" w:hAnsiTheme="minorEastAsia"/>
          <w:sz w:val="32"/>
          <w:szCs w:val="32"/>
        </w:rPr>
      </w:pPr>
    </w:p>
    <w:p>
      <w:pPr>
        <w:spacing w:line="600" w:lineRule="exact"/>
        <w:ind w:firstLine="800" w:firstLineChars="250"/>
        <w:rPr>
          <w:rFonts w:asciiTheme="minorEastAsia" w:hAnsiTheme="minorEastAsia"/>
          <w:kern w:val="0"/>
          <w:sz w:val="32"/>
          <w:szCs w:val="32"/>
        </w:rPr>
      </w:pPr>
      <w:r>
        <w:rPr>
          <w:rFonts w:hint="eastAsia" w:cs="宋体" w:asciiTheme="minorEastAsia" w:hAnsiTheme="minorEastAsia"/>
          <w:sz w:val="32"/>
          <w:szCs w:val="32"/>
        </w:rPr>
        <w:t>2、主要工作职责：</w:t>
      </w:r>
      <w:r>
        <w:rPr>
          <w:rFonts w:hint="eastAsia" w:cs="仿宋" w:asciiTheme="minorEastAsia" w:hAnsiTheme="minorEastAsia"/>
          <w:sz w:val="32"/>
          <w:szCs w:val="32"/>
        </w:rPr>
        <w:t>全面贯彻党的教育方针，落实九年义务教育各项政策，保障学生受教育的各项权利，维护教师职工各项权益。</w:t>
      </w:r>
    </w:p>
    <w:p>
      <w:pPr>
        <w:ind w:firstLine="640" w:firstLineChars="200"/>
        <w:rPr>
          <w:rFonts w:cs="宋体" w:asciiTheme="minorEastAsia" w:hAnsiTheme="minorEastAsia"/>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3、编制人员情况:现实有在职人员34人（其中全额拨款34人，自收自支0人），离退休人员22人(其中财政拨款22人，自收自支0人），遗属人员15人。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w:t>
      </w:r>
      <w:r>
        <w:rPr>
          <w:rFonts w:hint="eastAsia" w:asciiTheme="minorEastAsia" w:hAnsiTheme="minorEastAsia"/>
          <w:sz w:val="32"/>
          <w:szCs w:val="32"/>
        </w:rPr>
        <w:t>559.13</w:t>
      </w:r>
      <w:r>
        <w:rPr>
          <w:rFonts w:hint="eastAsia" w:cs="宋体" w:asciiTheme="minorEastAsia" w:hAnsiTheme="minorEastAsia"/>
          <w:sz w:val="32"/>
          <w:szCs w:val="32"/>
        </w:rPr>
        <w:t>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w:t>
      </w:r>
      <w:r>
        <w:rPr>
          <w:rFonts w:hint="eastAsia" w:asciiTheme="minorEastAsia" w:hAnsiTheme="minorEastAsia"/>
          <w:sz w:val="32"/>
          <w:szCs w:val="32"/>
        </w:rPr>
        <w:t>559.13</w:t>
      </w:r>
      <w:r>
        <w:rPr>
          <w:rFonts w:hint="eastAsia" w:cs="宋体" w:asciiTheme="minorEastAsia" w:hAnsiTheme="minorEastAsia"/>
          <w:sz w:val="32"/>
          <w:szCs w:val="32"/>
        </w:rPr>
        <w:t>万元，其中：人员经费支出</w:t>
      </w:r>
      <w:r>
        <w:rPr>
          <w:rFonts w:hint="eastAsia" w:asciiTheme="minorEastAsia" w:hAnsiTheme="minorEastAsia"/>
          <w:sz w:val="32"/>
          <w:szCs w:val="32"/>
        </w:rPr>
        <w:t>332.56</w:t>
      </w:r>
      <w:r>
        <w:rPr>
          <w:rFonts w:hint="eastAsia" w:cs="宋体" w:asciiTheme="minorEastAsia" w:hAnsiTheme="minorEastAsia"/>
          <w:sz w:val="32"/>
          <w:szCs w:val="32"/>
        </w:rPr>
        <w:t>万元，日常公用经费</w:t>
      </w:r>
      <w:r>
        <w:rPr>
          <w:rFonts w:hint="eastAsia" w:asciiTheme="minorEastAsia" w:hAnsiTheme="minorEastAsia"/>
          <w:sz w:val="32"/>
          <w:szCs w:val="32"/>
        </w:rPr>
        <w:t>41.53</w:t>
      </w:r>
      <w:r>
        <w:rPr>
          <w:rFonts w:hint="eastAsia" w:cs="宋体" w:asciiTheme="minorEastAsia" w:hAnsiTheme="minorEastAsia"/>
          <w:sz w:val="32"/>
          <w:szCs w:val="32"/>
        </w:rPr>
        <w:t>万元，项目支出为</w:t>
      </w:r>
      <w:r>
        <w:rPr>
          <w:rFonts w:hint="eastAsia" w:asciiTheme="minorEastAsia" w:hAnsiTheme="minorEastAsia"/>
          <w:sz w:val="32"/>
          <w:szCs w:val="32"/>
        </w:rPr>
        <w:t>152.84</w:t>
      </w:r>
      <w:r>
        <w:rPr>
          <w:rFonts w:hint="eastAsia" w:cs="宋体" w:asciiTheme="minorEastAsia" w:hAnsiTheme="minorEastAsia"/>
          <w:sz w:val="32"/>
          <w:szCs w:val="32"/>
        </w:rPr>
        <w:t>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3、“三公”经费说明：2019年度“三公”经费为0.5万元，根据各项规定，我单位按要求厉行节约，开支比年初预算降低75%。</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2734AF7"/>
    <w:multiLevelType w:val="singleLevel"/>
    <w:tmpl w:val="72734AF7"/>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0D51"/>
    <w:rsid w:val="0002134F"/>
    <w:rsid w:val="0002229B"/>
    <w:rsid w:val="000273BD"/>
    <w:rsid w:val="00033915"/>
    <w:rsid w:val="00036354"/>
    <w:rsid w:val="000415B7"/>
    <w:rsid w:val="000658A3"/>
    <w:rsid w:val="00074155"/>
    <w:rsid w:val="0008681D"/>
    <w:rsid w:val="000A3F69"/>
    <w:rsid w:val="00152A06"/>
    <w:rsid w:val="00152C6D"/>
    <w:rsid w:val="00162D39"/>
    <w:rsid w:val="00164F31"/>
    <w:rsid w:val="001651B4"/>
    <w:rsid w:val="0019026A"/>
    <w:rsid w:val="00194895"/>
    <w:rsid w:val="001A67DB"/>
    <w:rsid w:val="001C3AE6"/>
    <w:rsid w:val="001C5F5E"/>
    <w:rsid w:val="001D51E5"/>
    <w:rsid w:val="001E0CD3"/>
    <w:rsid w:val="001F0C3B"/>
    <w:rsid w:val="002143B2"/>
    <w:rsid w:val="00214427"/>
    <w:rsid w:val="0022587E"/>
    <w:rsid w:val="00232AD6"/>
    <w:rsid w:val="00261728"/>
    <w:rsid w:val="00265724"/>
    <w:rsid w:val="00273BAA"/>
    <w:rsid w:val="0027426B"/>
    <w:rsid w:val="002848C0"/>
    <w:rsid w:val="002C4E8A"/>
    <w:rsid w:val="002C4F37"/>
    <w:rsid w:val="002E7140"/>
    <w:rsid w:val="003479BD"/>
    <w:rsid w:val="00374827"/>
    <w:rsid w:val="003768D5"/>
    <w:rsid w:val="003B14AA"/>
    <w:rsid w:val="003B2385"/>
    <w:rsid w:val="00401CC4"/>
    <w:rsid w:val="00410E2F"/>
    <w:rsid w:val="00437BE7"/>
    <w:rsid w:val="00440F65"/>
    <w:rsid w:val="004442D4"/>
    <w:rsid w:val="0044488C"/>
    <w:rsid w:val="004506F9"/>
    <w:rsid w:val="004717A2"/>
    <w:rsid w:val="00491741"/>
    <w:rsid w:val="004E4B84"/>
    <w:rsid w:val="00500E5F"/>
    <w:rsid w:val="005122EF"/>
    <w:rsid w:val="00514C19"/>
    <w:rsid w:val="00517C33"/>
    <w:rsid w:val="00523644"/>
    <w:rsid w:val="0054069E"/>
    <w:rsid w:val="00554ACD"/>
    <w:rsid w:val="005557DF"/>
    <w:rsid w:val="00555DF0"/>
    <w:rsid w:val="005767CC"/>
    <w:rsid w:val="00590D9F"/>
    <w:rsid w:val="00595D26"/>
    <w:rsid w:val="00596EC1"/>
    <w:rsid w:val="005A74E6"/>
    <w:rsid w:val="005D4D55"/>
    <w:rsid w:val="005D6CD7"/>
    <w:rsid w:val="005E2CFB"/>
    <w:rsid w:val="005E3C93"/>
    <w:rsid w:val="005F0402"/>
    <w:rsid w:val="0062378F"/>
    <w:rsid w:val="00645175"/>
    <w:rsid w:val="006506F3"/>
    <w:rsid w:val="00651EEC"/>
    <w:rsid w:val="00652413"/>
    <w:rsid w:val="006665DA"/>
    <w:rsid w:val="006701EC"/>
    <w:rsid w:val="0067578E"/>
    <w:rsid w:val="006A351B"/>
    <w:rsid w:val="006B0422"/>
    <w:rsid w:val="006C1B53"/>
    <w:rsid w:val="006D7730"/>
    <w:rsid w:val="006E2E56"/>
    <w:rsid w:val="006E474B"/>
    <w:rsid w:val="006E5284"/>
    <w:rsid w:val="006F3EB5"/>
    <w:rsid w:val="00700BD2"/>
    <w:rsid w:val="00702E34"/>
    <w:rsid w:val="00704395"/>
    <w:rsid w:val="00704521"/>
    <w:rsid w:val="00712FD9"/>
    <w:rsid w:val="00720FF1"/>
    <w:rsid w:val="00723160"/>
    <w:rsid w:val="00725763"/>
    <w:rsid w:val="0074149D"/>
    <w:rsid w:val="007469B9"/>
    <w:rsid w:val="007B6332"/>
    <w:rsid w:val="007B63CA"/>
    <w:rsid w:val="007D02F0"/>
    <w:rsid w:val="007D2276"/>
    <w:rsid w:val="007F3D78"/>
    <w:rsid w:val="00800EFA"/>
    <w:rsid w:val="00812ED5"/>
    <w:rsid w:val="00825791"/>
    <w:rsid w:val="008277D9"/>
    <w:rsid w:val="00844BA9"/>
    <w:rsid w:val="00860282"/>
    <w:rsid w:val="00865BC8"/>
    <w:rsid w:val="008A38D3"/>
    <w:rsid w:val="008A3E8D"/>
    <w:rsid w:val="008A7989"/>
    <w:rsid w:val="008B501F"/>
    <w:rsid w:val="00901FFA"/>
    <w:rsid w:val="009237C4"/>
    <w:rsid w:val="00950252"/>
    <w:rsid w:val="00954086"/>
    <w:rsid w:val="00967F5D"/>
    <w:rsid w:val="00991CDA"/>
    <w:rsid w:val="009A0F95"/>
    <w:rsid w:val="009B3ADF"/>
    <w:rsid w:val="009C3B52"/>
    <w:rsid w:val="009C5BB9"/>
    <w:rsid w:val="009E512C"/>
    <w:rsid w:val="009E52DB"/>
    <w:rsid w:val="00A13692"/>
    <w:rsid w:val="00A25CF1"/>
    <w:rsid w:val="00A32E0B"/>
    <w:rsid w:val="00A42218"/>
    <w:rsid w:val="00A66966"/>
    <w:rsid w:val="00A70249"/>
    <w:rsid w:val="00A719F5"/>
    <w:rsid w:val="00A909DF"/>
    <w:rsid w:val="00AD7D06"/>
    <w:rsid w:val="00AF0E59"/>
    <w:rsid w:val="00AF77D4"/>
    <w:rsid w:val="00B06C0A"/>
    <w:rsid w:val="00B1668C"/>
    <w:rsid w:val="00B33BEA"/>
    <w:rsid w:val="00B36C95"/>
    <w:rsid w:val="00B57C9F"/>
    <w:rsid w:val="00B70493"/>
    <w:rsid w:val="00B716B6"/>
    <w:rsid w:val="00B845B3"/>
    <w:rsid w:val="00B85D8B"/>
    <w:rsid w:val="00B86EC5"/>
    <w:rsid w:val="00B913DB"/>
    <w:rsid w:val="00BA497A"/>
    <w:rsid w:val="00BC7861"/>
    <w:rsid w:val="00BD1FDB"/>
    <w:rsid w:val="00BE3674"/>
    <w:rsid w:val="00BE4C91"/>
    <w:rsid w:val="00BE6414"/>
    <w:rsid w:val="00C3049A"/>
    <w:rsid w:val="00C31B1E"/>
    <w:rsid w:val="00C33A43"/>
    <w:rsid w:val="00C54F98"/>
    <w:rsid w:val="00C77645"/>
    <w:rsid w:val="00CD21DE"/>
    <w:rsid w:val="00CE04C3"/>
    <w:rsid w:val="00CE5BB2"/>
    <w:rsid w:val="00CE76A0"/>
    <w:rsid w:val="00D01A21"/>
    <w:rsid w:val="00D041A1"/>
    <w:rsid w:val="00D148C6"/>
    <w:rsid w:val="00D22D2F"/>
    <w:rsid w:val="00D30EF3"/>
    <w:rsid w:val="00D55CA8"/>
    <w:rsid w:val="00D602DE"/>
    <w:rsid w:val="00D639CF"/>
    <w:rsid w:val="00D6741D"/>
    <w:rsid w:val="00DA70BE"/>
    <w:rsid w:val="00DC250F"/>
    <w:rsid w:val="00DD06FF"/>
    <w:rsid w:val="00DD2903"/>
    <w:rsid w:val="00DD5FE9"/>
    <w:rsid w:val="00E00C7A"/>
    <w:rsid w:val="00E25D58"/>
    <w:rsid w:val="00E55B68"/>
    <w:rsid w:val="00E94ECA"/>
    <w:rsid w:val="00E9708F"/>
    <w:rsid w:val="00EC05F0"/>
    <w:rsid w:val="00EE405B"/>
    <w:rsid w:val="00EE6D59"/>
    <w:rsid w:val="00F01955"/>
    <w:rsid w:val="00F03697"/>
    <w:rsid w:val="00F123D5"/>
    <w:rsid w:val="00F158F4"/>
    <w:rsid w:val="00F3635D"/>
    <w:rsid w:val="00F74360"/>
    <w:rsid w:val="00F80316"/>
    <w:rsid w:val="00F919D9"/>
    <w:rsid w:val="00FA5C78"/>
    <w:rsid w:val="00FB462F"/>
    <w:rsid w:val="00FB712D"/>
    <w:rsid w:val="00FD5395"/>
    <w:rsid w:val="00FD60B2"/>
    <w:rsid w:val="00FE16FA"/>
    <w:rsid w:val="00FE328A"/>
    <w:rsid w:val="00FF5A10"/>
    <w:rsid w:val="07984A71"/>
    <w:rsid w:val="088F71B4"/>
    <w:rsid w:val="109E368E"/>
    <w:rsid w:val="19AE754F"/>
    <w:rsid w:val="1ABA0C90"/>
    <w:rsid w:val="1CC2192D"/>
    <w:rsid w:val="1CF75E7C"/>
    <w:rsid w:val="2063572F"/>
    <w:rsid w:val="21746DEC"/>
    <w:rsid w:val="21974B70"/>
    <w:rsid w:val="23FB0264"/>
    <w:rsid w:val="23FC2AEC"/>
    <w:rsid w:val="26052C1A"/>
    <w:rsid w:val="267944AD"/>
    <w:rsid w:val="26EB041E"/>
    <w:rsid w:val="2AFD7F25"/>
    <w:rsid w:val="2C6B1FB7"/>
    <w:rsid w:val="2F0231F2"/>
    <w:rsid w:val="314E28C9"/>
    <w:rsid w:val="34B1671D"/>
    <w:rsid w:val="366B371C"/>
    <w:rsid w:val="366F65D0"/>
    <w:rsid w:val="3AD37D34"/>
    <w:rsid w:val="3C1F5C9F"/>
    <w:rsid w:val="3C900D3F"/>
    <w:rsid w:val="3FC31543"/>
    <w:rsid w:val="448E35AD"/>
    <w:rsid w:val="471F4CA2"/>
    <w:rsid w:val="47E622B8"/>
    <w:rsid w:val="54EF0C70"/>
    <w:rsid w:val="55B01AC7"/>
    <w:rsid w:val="56F66861"/>
    <w:rsid w:val="577203FF"/>
    <w:rsid w:val="5A541E53"/>
    <w:rsid w:val="5B930372"/>
    <w:rsid w:val="5CC41580"/>
    <w:rsid w:val="5D2346F4"/>
    <w:rsid w:val="60567F28"/>
    <w:rsid w:val="63232D16"/>
    <w:rsid w:val="6C697166"/>
    <w:rsid w:val="6C6D2F66"/>
    <w:rsid w:val="78282AAC"/>
    <w:rsid w:val="7B82621A"/>
    <w:rsid w:val="7F9537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E258A4-58DB-4B4E-B54A-F773DB6EA1D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601</Words>
  <Characters>3430</Characters>
  <Lines>28</Lines>
  <Paragraphs>8</Paragraphs>
  <TotalTime>22</TotalTime>
  <ScaleCrop>false</ScaleCrop>
  <LinksUpToDate>false</LinksUpToDate>
  <CharactersWithSpaces>4023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且歌</cp:lastModifiedBy>
  <cp:lastPrinted>2020-09-02T08:58:00Z</cp:lastPrinted>
  <dcterms:modified xsi:type="dcterms:W3CDTF">2021-06-06T06:38:37Z</dcterms:modified>
  <cp:revision>237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58899B56262643CBAE4BD1E9E2C4CC1A</vt:lpwstr>
  </property>
</Properties>
</file>