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color w:val="auto"/>
          <w:sz w:val="56"/>
          <w:szCs w:val="56"/>
        </w:rPr>
      </w:pPr>
    </w:p>
    <w:p>
      <w:pPr>
        <w:pStyle w:val="10"/>
        <w:jc w:val="center"/>
        <w:rPr>
          <w:color w:val="auto"/>
          <w:sz w:val="56"/>
          <w:szCs w:val="56"/>
        </w:rPr>
      </w:pPr>
    </w:p>
    <w:p>
      <w:pPr>
        <w:pStyle w:val="10"/>
        <w:jc w:val="center"/>
        <w:rPr>
          <w:color w:val="auto"/>
          <w:sz w:val="84"/>
          <w:szCs w:val="84"/>
        </w:rPr>
      </w:pPr>
    </w:p>
    <w:p>
      <w:pPr>
        <w:pStyle w:val="10"/>
        <w:jc w:val="center"/>
        <w:rPr>
          <w:color w:val="auto"/>
          <w:sz w:val="84"/>
          <w:szCs w:val="84"/>
        </w:rPr>
      </w:pPr>
    </w:p>
    <w:p>
      <w:pPr>
        <w:pStyle w:val="10"/>
        <w:jc w:val="center"/>
        <w:rPr>
          <w:color w:val="auto"/>
          <w:sz w:val="84"/>
          <w:szCs w:val="84"/>
        </w:rPr>
      </w:pPr>
      <w:r>
        <w:rPr>
          <w:rFonts w:hint="eastAsia"/>
          <w:color w:val="auto"/>
          <w:sz w:val="84"/>
          <w:szCs w:val="84"/>
        </w:rPr>
        <w:t>2019年度</w:t>
      </w:r>
    </w:p>
    <w:p>
      <w:pPr>
        <w:pStyle w:val="10"/>
        <w:jc w:val="center"/>
        <w:rPr>
          <w:color w:val="auto"/>
          <w:sz w:val="84"/>
          <w:szCs w:val="84"/>
        </w:rPr>
      </w:pPr>
      <w:r>
        <w:rPr>
          <w:rFonts w:hint="eastAsia"/>
          <w:color w:val="auto"/>
          <w:sz w:val="84"/>
          <w:szCs w:val="84"/>
        </w:rPr>
        <w:t>鹤城区委宣传部部门决算</w:t>
      </w:r>
    </w:p>
    <w:p>
      <w:pPr>
        <w:pStyle w:val="10"/>
        <w:jc w:val="center"/>
        <w:rPr>
          <w:color w:val="auto"/>
          <w:sz w:val="56"/>
          <w:szCs w:val="56"/>
        </w:rPr>
      </w:pPr>
    </w:p>
    <w:p>
      <w:pPr>
        <w:pStyle w:val="10"/>
        <w:jc w:val="center"/>
        <w:rPr>
          <w:color w:val="auto"/>
          <w:sz w:val="56"/>
          <w:szCs w:val="56"/>
        </w:rPr>
      </w:pPr>
    </w:p>
    <w:p>
      <w:pPr>
        <w:pStyle w:val="10"/>
        <w:jc w:val="center"/>
        <w:rPr>
          <w:color w:val="auto"/>
          <w:sz w:val="56"/>
          <w:szCs w:val="56"/>
        </w:rPr>
      </w:pPr>
    </w:p>
    <w:p>
      <w:pPr>
        <w:pStyle w:val="10"/>
        <w:jc w:val="center"/>
        <w:rPr>
          <w:color w:val="auto"/>
          <w:sz w:val="56"/>
          <w:szCs w:val="56"/>
        </w:rPr>
      </w:pPr>
    </w:p>
    <w:p>
      <w:pPr>
        <w:pStyle w:val="10"/>
        <w:jc w:val="center"/>
        <w:rPr>
          <w:color w:val="auto"/>
          <w:sz w:val="56"/>
          <w:szCs w:val="56"/>
        </w:rPr>
      </w:pPr>
    </w:p>
    <w:p>
      <w:pPr>
        <w:pStyle w:val="10"/>
        <w:jc w:val="center"/>
        <w:rPr>
          <w:color w:val="auto"/>
          <w:sz w:val="56"/>
          <w:szCs w:val="56"/>
        </w:rPr>
      </w:pPr>
    </w:p>
    <w:p>
      <w:pPr>
        <w:pStyle w:val="10"/>
        <w:jc w:val="center"/>
        <w:rPr>
          <w:color w:val="auto"/>
          <w:sz w:val="56"/>
          <w:szCs w:val="56"/>
        </w:rPr>
      </w:pPr>
    </w:p>
    <w:p>
      <w:pPr>
        <w:pStyle w:val="10"/>
        <w:spacing w:line="540" w:lineRule="exact"/>
        <w:jc w:val="center"/>
        <w:rPr>
          <w:color w:val="auto"/>
          <w:sz w:val="56"/>
          <w:szCs w:val="56"/>
        </w:rPr>
      </w:pPr>
    </w:p>
    <w:p>
      <w:pPr>
        <w:pStyle w:val="10"/>
        <w:spacing w:line="520" w:lineRule="exact"/>
        <w:jc w:val="center"/>
        <w:rPr>
          <w:color w:val="auto"/>
          <w:sz w:val="56"/>
          <w:szCs w:val="56"/>
        </w:rPr>
      </w:pPr>
      <w:r>
        <w:rPr>
          <w:rFonts w:hint="eastAsia"/>
          <w:color w:val="auto"/>
          <w:sz w:val="56"/>
          <w:szCs w:val="56"/>
        </w:rPr>
        <w:t>目录</w:t>
      </w:r>
    </w:p>
    <w:p>
      <w:pPr>
        <w:pStyle w:val="10"/>
        <w:spacing w:line="520" w:lineRule="exact"/>
        <w:rPr>
          <w:rFonts w:ascii="仿宋_GB2312" w:hAnsi="仿宋_GB2312" w:cs="仿宋_GB2312"/>
          <w:b/>
          <w:color w:val="auto"/>
          <w:sz w:val="28"/>
          <w:szCs w:val="28"/>
        </w:rPr>
      </w:pPr>
      <w:r>
        <w:rPr>
          <w:rFonts w:hint="eastAsia"/>
          <w:b/>
          <w:color w:val="auto"/>
          <w:sz w:val="28"/>
          <w:szCs w:val="28"/>
        </w:rPr>
        <w:t>第一部分鹤城区委宣传部单位概况</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10"/>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0"/>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10"/>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color w:val="auto"/>
          <w:sz w:val="84"/>
          <w:szCs w:val="84"/>
        </w:rPr>
      </w:pPr>
      <w:r>
        <w:rPr>
          <w:rFonts w:hint="eastAsia"/>
          <w:color w:val="auto"/>
          <w:sz w:val="84"/>
          <w:szCs w:val="84"/>
        </w:rPr>
        <w:t>第一部分</w:t>
      </w:r>
    </w:p>
    <w:p>
      <w:pPr>
        <w:pStyle w:val="10"/>
        <w:jc w:val="center"/>
        <w:rPr>
          <w:color w:val="auto"/>
          <w:sz w:val="84"/>
          <w:szCs w:val="84"/>
        </w:rPr>
      </w:pPr>
    </w:p>
    <w:p>
      <w:pPr>
        <w:pStyle w:val="10"/>
        <w:jc w:val="center"/>
        <w:rPr>
          <w:color w:val="auto"/>
          <w:sz w:val="84"/>
          <w:szCs w:val="84"/>
        </w:rPr>
      </w:pPr>
      <w:r>
        <w:rPr>
          <w:rFonts w:hint="eastAsia"/>
          <w:color w:val="auto"/>
          <w:sz w:val="84"/>
          <w:szCs w:val="84"/>
        </w:rPr>
        <w:t>鹤城区委宣传部单位概况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ajorEastAsia" w:hAnsiTheme="majorEastAsia" w:eastAsiaTheme="majorEastAsia" w:cstheme="majorEastAsia"/>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中共怀化市鹤城区委宣传部是直属鹤城区委领导，主要工作职能有：制订全区宣传思想工作规划和措施；指导全区理论研究、理论学习和理论宣传工作；引导社会舆论；指导、协凋全区各新闻单位的工作；部署全局性的思想政治工作；规划全区群众性的社会主义精神文明建设；指导和协调全区对外文化交流工作；归口管理、统筹协调全区互联网上的新闻宣传工作等。</w:t>
      </w:r>
    </w:p>
    <w:p>
      <w:pPr>
        <w:widowControl/>
        <w:spacing w:line="600" w:lineRule="exact"/>
        <w:ind w:firstLine="480" w:firstLineChars="150"/>
        <w:rPr>
          <w:rFonts w:asciiTheme="minorEastAsia" w:hAnsiTheme="minorEastAsia"/>
          <w:bCs/>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asciiTheme="majorEastAsia" w:hAnsiTheme="majorEastAsia" w:eastAsiaTheme="majorEastAsia" w:cstheme="majorEastAsia"/>
          <w:sz w:val="32"/>
          <w:szCs w:val="32"/>
        </w:rPr>
        <w:t>中共怀化市鹤城区委宣传部作为一级部门预算单位，内设5个股室，分别为办公室、理论室、精神文明建设指导室、文艺文产组、新闻外宣组；下设文化产业服务中心、宣传事业服务中心。</w:t>
      </w:r>
    </w:p>
    <w:p>
      <w:pPr>
        <w:widowControl/>
        <w:spacing w:line="600" w:lineRule="exact"/>
        <w:rPr>
          <w:rFonts w:ascii="宋体" w:hAnsi="宋体" w:eastAsia="宋体" w:cs="Times New Roman"/>
          <w:bCs/>
          <w:kern w:val="0"/>
          <w:sz w:val="32"/>
          <w:szCs w:val="32"/>
        </w:rPr>
      </w:pPr>
    </w:p>
    <w:p>
      <w:pPr>
        <w:widowControl/>
        <w:spacing w:line="600" w:lineRule="exact"/>
        <w:rPr>
          <w:rFonts w:ascii="宋体" w:hAnsi="宋体" w:eastAsia="宋体" w:cs="Times New Roman"/>
          <w:bCs/>
          <w:kern w:val="0"/>
          <w:sz w:val="32"/>
          <w:szCs w:val="32"/>
        </w:rPr>
      </w:pPr>
      <w:r>
        <w:rPr>
          <w:rFonts w:hint="eastAsia" w:asciiTheme="minorEastAsia" w:hAnsiTheme="minorEastAsia"/>
          <w:bCs/>
          <w:kern w:val="0"/>
          <w:sz w:val="32"/>
          <w:szCs w:val="32"/>
        </w:rPr>
        <w:t>（二）决算单位构成。</w:t>
      </w:r>
      <w:r>
        <w:rPr>
          <w:rFonts w:hint="eastAsia" w:ascii="宋体" w:hAnsi="宋体" w:eastAsia="宋体" w:cs="Times New Roman"/>
          <w:bCs/>
          <w:kern w:val="0"/>
          <w:sz w:val="32"/>
          <w:szCs w:val="32"/>
        </w:rPr>
        <w:t>鹤城区委宣传部2019年部门决算汇总公开单位构成为本单位</w:t>
      </w:r>
      <w:r>
        <w:rPr>
          <w:rFonts w:hint="eastAsia" w:asciiTheme="majorEastAsia" w:hAnsiTheme="majorEastAsia" w:eastAsiaTheme="majorEastAsia" w:cstheme="majorEastAsia"/>
          <w:sz w:val="32"/>
          <w:szCs w:val="32"/>
        </w:rPr>
        <w:t>（含财务未独立的社科联）</w:t>
      </w:r>
      <w:r>
        <w:rPr>
          <w:rFonts w:hint="eastAsia" w:ascii="宋体" w:hAnsi="宋体" w:eastAsia="宋体"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0"/>
        <w:rPr>
          <w:color w:val="auto"/>
          <w:sz w:val="72"/>
          <w:szCs w:val="72"/>
        </w:rPr>
        <w:sectPr>
          <w:pgSz w:w="16838" w:h="11906" w:orient="landscape"/>
          <w:pgMar w:top="720" w:right="720" w:bottom="720" w:left="720" w:header="851" w:footer="992" w:gutter="0"/>
          <w:cols w:space="425" w:num="1"/>
          <w:docGrid w:type="lines" w:linePitch="312" w:charSpace="0"/>
        </w:sectPr>
      </w:pPr>
    </w:p>
    <w:p>
      <w:pPr>
        <w:pStyle w:val="10"/>
        <w:rPr>
          <w:color w:val="auto"/>
          <w:sz w:val="72"/>
          <w:szCs w:val="72"/>
        </w:rPr>
      </w:pPr>
    </w:p>
    <w:p>
      <w:pPr>
        <w:pStyle w:val="10"/>
        <w:rPr>
          <w:color w:val="auto"/>
          <w:sz w:val="72"/>
          <w:szCs w:val="72"/>
        </w:rPr>
      </w:pPr>
    </w:p>
    <w:p>
      <w:pPr>
        <w:pStyle w:val="10"/>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r>
        <w:rPr>
          <w:rFonts w:hint="eastAsia"/>
          <w:color w:val="auto"/>
          <w:sz w:val="72"/>
          <w:szCs w:val="72"/>
        </w:rPr>
        <w:t>第三部分</w:t>
      </w:r>
    </w:p>
    <w:p>
      <w:pPr>
        <w:pStyle w:val="10"/>
        <w:jc w:val="center"/>
        <w:rPr>
          <w:color w:val="auto"/>
          <w:sz w:val="70"/>
          <w:szCs w:val="70"/>
        </w:rPr>
      </w:pPr>
    </w:p>
    <w:p>
      <w:pPr>
        <w:pStyle w:val="10"/>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10"/>
        <w:rPr>
          <w:rFonts w:asciiTheme="minorEastAsia" w:hAnsiTheme="minorEastAsia" w:eastAsiaTheme="minorEastAsia"/>
          <w:color w:val="auto"/>
          <w:sz w:val="32"/>
          <w:szCs w:val="32"/>
        </w:rPr>
      </w:pPr>
    </w:p>
    <w:p>
      <w:pPr>
        <w:pStyle w:val="10"/>
        <w:rPr>
          <w:rFonts w:hAnsi="黑体"/>
          <w:b/>
          <w:color w:val="auto"/>
          <w:sz w:val="32"/>
          <w:szCs w:val="32"/>
        </w:rPr>
      </w:pPr>
      <w:r>
        <w:rPr>
          <w:rFonts w:hint="eastAsia" w:hAnsi="黑体"/>
          <w:b/>
          <w:color w:val="auto"/>
          <w:sz w:val="32"/>
          <w:szCs w:val="32"/>
        </w:rPr>
        <w:t>一、收入支出决算总体情况说明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2019年度决算收入总计</w:t>
      </w:r>
      <w:r>
        <w:rPr>
          <w:rFonts w:asciiTheme="minorEastAsia" w:hAnsiTheme="minorEastAsia" w:eastAsiaTheme="minorEastAsia"/>
          <w:color w:val="auto"/>
          <w:sz w:val="32"/>
          <w:szCs w:val="32"/>
        </w:rPr>
        <w:t>507.</w:t>
      </w:r>
      <w:r>
        <w:rPr>
          <w:rFonts w:hint="eastAsia" w:asciiTheme="minorEastAsia" w:hAnsiTheme="minorEastAsia" w:eastAsiaTheme="minorEastAsia"/>
          <w:color w:val="auto"/>
          <w:sz w:val="32"/>
          <w:szCs w:val="32"/>
        </w:rPr>
        <w:t>5万元，比2018年减少了84.36万元，下降14.25%，主要是因为厉行节约，压减日常公用经费开支；2019年度决算支出总计499.09万元。与2018年相比，减少84.36万元，减少14.25%，主要是因为厉行节约，压减日常公用经费开支。</w:t>
      </w:r>
    </w:p>
    <w:p>
      <w:pPr>
        <w:pStyle w:val="10"/>
        <w:rPr>
          <w:rFonts w:hAnsi="黑体"/>
          <w:b/>
          <w:color w:val="auto"/>
          <w:sz w:val="32"/>
          <w:szCs w:val="32"/>
        </w:rPr>
      </w:pPr>
      <w:r>
        <w:rPr>
          <w:rFonts w:hint="eastAsia" w:hAnsi="黑体"/>
          <w:b/>
          <w:color w:val="auto"/>
          <w:sz w:val="32"/>
          <w:szCs w:val="32"/>
        </w:rPr>
        <w:t>二、收入决算情况说明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w:t>
      </w:r>
      <w:r>
        <w:rPr>
          <w:rFonts w:asciiTheme="minorEastAsia" w:hAnsiTheme="minorEastAsia" w:eastAsiaTheme="minorEastAsia"/>
          <w:color w:val="auto"/>
          <w:sz w:val="32"/>
          <w:szCs w:val="32"/>
        </w:rPr>
        <w:t>507.</w:t>
      </w:r>
      <w:r>
        <w:rPr>
          <w:rFonts w:hint="eastAsia" w:asciiTheme="minorEastAsia" w:hAnsiTheme="minorEastAsia" w:eastAsiaTheme="minorEastAsia"/>
          <w:color w:val="auto"/>
          <w:sz w:val="32"/>
          <w:szCs w:val="32"/>
        </w:rPr>
        <w:t>5万元，其中：财政拨款收入</w:t>
      </w:r>
      <w:r>
        <w:rPr>
          <w:rFonts w:asciiTheme="minorEastAsia" w:hAnsiTheme="minorEastAsia" w:eastAsiaTheme="minorEastAsia"/>
          <w:color w:val="auto"/>
          <w:sz w:val="32"/>
          <w:szCs w:val="32"/>
        </w:rPr>
        <w:t>507.</w:t>
      </w:r>
      <w:r>
        <w:rPr>
          <w:rFonts w:hint="eastAsia" w:asciiTheme="minorEastAsia" w:hAnsiTheme="minorEastAsia" w:eastAsiaTheme="minorEastAsia"/>
          <w:color w:val="auto"/>
          <w:sz w:val="32"/>
          <w:szCs w:val="32"/>
        </w:rPr>
        <w:t>5万元，占100%；上级补助收入0万元，占0%；事业收入0万元，占0%；经营收入0万元，占0%；附属单位上缴收入0万元，占0%；其他收入0万元，占0%。</w:t>
      </w:r>
    </w:p>
    <w:p>
      <w:pPr>
        <w:pStyle w:val="10"/>
        <w:rPr>
          <w:rFonts w:hAnsi="黑体"/>
          <w:b/>
          <w:color w:val="auto"/>
          <w:sz w:val="32"/>
          <w:szCs w:val="32"/>
        </w:rPr>
      </w:pPr>
      <w:r>
        <w:rPr>
          <w:rFonts w:hint="eastAsia" w:hAnsi="黑体"/>
          <w:b/>
          <w:color w:val="auto"/>
          <w:sz w:val="32"/>
          <w:szCs w:val="32"/>
        </w:rPr>
        <w:t>三、支出决算情况说明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本年支出合计499.09万元，其中：基本支出</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100</w:t>
      </w:r>
      <w:r>
        <w:rPr>
          <w:rFonts w:hint="eastAsia" w:asciiTheme="minorEastAsia" w:hAnsiTheme="minorEastAsia" w:eastAsiaTheme="minorEastAsia"/>
          <w:color w:val="auto"/>
          <w:sz w:val="32"/>
          <w:szCs w:val="32"/>
        </w:rPr>
        <w:t>%；项目支出</w:t>
      </w:r>
      <w:r>
        <w:rPr>
          <w:rFonts w:asciiTheme="minorEastAsia" w:hAnsiTheme="minorEastAsia" w:eastAsiaTheme="minorEastAsia"/>
          <w:color w:val="auto"/>
          <w:sz w:val="32"/>
          <w:szCs w:val="32"/>
        </w:rPr>
        <w:t>0</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0</w:t>
      </w:r>
      <w:r>
        <w:rPr>
          <w:rFonts w:hint="eastAsia" w:asciiTheme="minorEastAsia" w:hAnsiTheme="minorEastAsia" w:eastAsiaTheme="minorEastAsia"/>
          <w:color w:val="auto"/>
          <w:sz w:val="32"/>
          <w:szCs w:val="32"/>
        </w:rPr>
        <w:t>%；上缴上级支出0万元，占0%；经营支出0万元，占0%；对附属单位补助支出0万元，占0%。</w:t>
      </w:r>
    </w:p>
    <w:p>
      <w:pPr>
        <w:pStyle w:val="10"/>
        <w:rPr>
          <w:rFonts w:hAnsi="黑体"/>
          <w:b/>
          <w:color w:val="auto"/>
          <w:sz w:val="32"/>
          <w:szCs w:val="32"/>
        </w:rPr>
      </w:pPr>
      <w:r>
        <w:rPr>
          <w:rFonts w:hint="eastAsia" w:hAnsi="黑体"/>
          <w:b/>
          <w:color w:val="auto"/>
          <w:sz w:val="32"/>
          <w:szCs w:val="32"/>
        </w:rPr>
        <w:t>四、财政拨款收入支出决算总体情况说明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w:t>
      </w:r>
      <w:r>
        <w:rPr>
          <w:rFonts w:asciiTheme="minorEastAsia" w:hAnsiTheme="minorEastAsia" w:eastAsiaTheme="minorEastAsia"/>
          <w:color w:val="auto"/>
          <w:sz w:val="32"/>
          <w:szCs w:val="32"/>
        </w:rPr>
        <w:t>507.</w:t>
      </w:r>
      <w:r>
        <w:rPr>
          <w:rFonts w:hint="eastAsia" w:asciiTheme="minorEastAsia" w:hAnsiTheme="minorEastAsia" w:eastAsiaTheme="minorEastAsia"/>
          <w:color w:val="auto"/>
          <w:sz w:val="32"/>
          <w:szCs w:val="32"/>
        </w:rPr>
        <w:t>5万元，比2018年减少了84.36万元，下降14.25%，主要是预算安排减少；2019年度财政拨款支出总计</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万元,与2018年相比，减少9</w:t>
      </w:r>
      <w:r>
        <w:rPr>
          <w:rFonts w:asciiTheme="minorEastAsia" w:hAnsiTheme="minorEastAsia" w:eastAsiaTheme="minorEastAsia"/>
          <w:color w:val="auto"/>
          <w:sz w:val="32"/>
          <w:szCs w:val="32"/>
        </w:rPr>
        <w:t>2.77</w:t>
      </w:r>
      <w:r>
        <w:rPr>
          <w:rFonts w:hint="eastAsia" w:asciiTheme="minorEastAsia" w:hAnsiTheme="minorEastAsia" w:eastAsiaTheme="minorEastAsia"/>
          <w:color w:val="auto"/>
          <w:sz w:val="32"/>
          <w:szCs w:val="32"/>
        </w:rPr>
        <w:t>万元，减少</w:t>
      </w:r>
      <w:r>
        <w:rPr>
          <w:rFonts w:asciiTheme="minorEastAsia" w:hAnsiTheme="minorEastAsia" w:eastAsiaTheme="minorEastAsia"/>
          <w:color w:val="auto"/>
          <w:sz w:val="32"/>
          <w:szCs w:val="32"/>
        </w:rPr>
        <w:t>15.67</w:t>
      </w:r>
      <w:r>
        <w:rPr>
          <w:rFonts w:hint="eastAsia" w:asciiTheme="minorEastAsia" w:hAnsiTheme="minorEastAsia" w:eastAsiaTheme="minorEastAsia"/>
          <w:color w:val="auto"/>
          <w:sz w:val="32"/>
          <w:szCs w:val="32"/>
        </w:rPr>
        <w:t>%，主要是因为厉行节约，压减日常公用经费开支。</w:t>
      </w:r>
    </w:p>
    <w:p>
      <w:pPr>
        <w:pStyle w:val="10"/>
        <w:rPr>
          <w:rFonts w:hAnsi="黑体"/>
          <w:b/>
          <w:color w:val="auto"/>
          <w:sz w:val="32"/>
          <w:szCs w:val="32"/>
        </w:rPr>
      </w:pPr>
      <w:r>
        <w:rPr>
          <w:rFonts w:hint="eastAsia" w:hAnsi="黑体"/>
          <w:b/>
          <w:color w:val="auto"/>
          <w:sz w:val="32"/>
          <w:szCs w:val="32"/>
        </w:rPr>
        <w:t>五、一般公共预算财政拨款支出决算情况说明</w:t>
      </w:r>
    </w:p>
    <w:p>
      <w:pPr>
        <w:pStyle w:val="10"/>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0"/>
        <w:ind w:firstLine="480" w:firstLineChars="1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万元,与2018年相比，减少9</w:t>
      </w:r>
      <w:r>
        <w:rPr>
          <w:rFonts w:asciiTheme="minorEastAsia" w:hAnsiTheme="minorEastAsia" w:eastAsiaTheme="minorEastAsia"/>
          <w:color w:val="auto"/>
          <w:sz w:val="32"/>
          <w:szCs w:val="32"/>
        </w:rPr>
        <w:t>2.77</w:t>
      </w:r>
      <w:r>
        <w:rPr>
          <w:rFonts w:hint="eastAsia" w:asciiTheme="minorEastAsia" w:hAnsiTheme="minorEastAsia" w:eastAsiaTheme="minorEastAsia"/>
          <w:color w:val="auto"/>
          <w:sz w:val="32"/>
          <w:szCs w:val="32"/>
        </w:rPr>
        <w:t>万元，减少</w:t>
      </w:r>
      <w:r>
        <w:rPr>
          <w:rFonts w:asciiTheme="minorEastAsia" w:hAnsiTheme="minorEastAsia" w:eastAsiaTheme="minorEastAsia"/>
          <w:color w:val="auto"/>
          <w:sz w:val="32"/>
          <w:szCs w:val="32"/>
        </w:rPr>
        <w:t>15.67</w:t>
      </w:r>
      <w:r>
        <w:rPr>
          <w:rFonts w:hint="eastAsia" w:asciiTheme="minorEastAsia" w:hAnsiTheme="minorEastAsia" w:eastAsiaTheme="minorEastAsia"/>
          <w:color w:val="auto"/>
          <w:sz w:val="32"/>
          <w:szCs w:val="32"/>
        </w:rPr>
        <w:t>%，主要是因为厉行节约，压减日常公用经费开支。</w:t>
      </w:r>
    </w:p>
    <w:p>
      <w:pPr>
        <w:pStyle w:val="10"/>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万元，主要用于以下方面：一般公共服务（类）支出</w:t>
      </w:r>
      <w:r>
        <w:rPr>
          <w:rFonts w:asciiTheme="minorEastAsia" w:hAnsiTheme="minorEastAsia" w:eastAsiaTheme="minorEastAsia"/>
          <w:color w:val="auto"/>
          <w:sz w:val="32"/>
          <w:szCs w:val="32"/>
        </w:rPr>
        <w:t>418.76</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83.</w:t>
      </w:r>
      <w:r>
        <w:rPr>
          <w:rFonts w:hint="eastAsia" w:asciiTheme="minorEastAsia" w:hAnsiTheme="minorEastAsia" w:eastAsiaTheme="minorEastAsia"/>
          <w:color w:val="auto"/>
          <w:sz w:val="32"/>
          <w:szCs w:val="32"/>
        </w:rPr>
        <w:t>9%；文化（类）支出</w:t>
      </w:r>
      <w:r>
        <w:rPr>
          <w:rFonts w:asciiTheme="minorEastAsia" w:hAnsiTheme="minorEastAsia" w:eastAsiaTheme="minorEastAsia"/>
          <w:color w:val="auto"/>
          <w:sz w:val="32"/>
          <w:szCs w:val="32"/>
        </w:rPr>
        <w:t>49</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%；社会保障和就业（类）支出</w:t>
      </w:r>
      <w:r>
        <w:rPr>
          <w:rFonts w:asciiTheme="minorEastAsia" w:hAnsiTheme="minorEastAsia" w:eastAsiaTheme="minorEastAsia"/>
          <w:color w:val="auto"/>
          <w:sz w:val="32"/>
          <w:szCs w:val="32"/>
        </w:rPr>
        <w:t>21</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4</w:t>
      </w:r>
      <w:r>
        <w:rPr>
          <w:rFonts w:hint="eastAsia" w:asciiTheme="minorEastAsia" w:hAnsiTheme="minorEastAsia" w:eastAsiaTheme="minorEastAsia"/>
          <w:color w:val="auto"/>
          <w:sz w:val="32"/>
          <w:szCs w:val="32"/>
        </w:rPr>
        <w:t>%；节能（类）支出</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2</w:t>
      </w:r>
      <w:r>
        <w:rPr>
          <w:rFonts w:hint="eastAsia" w:asciiTheme="minorEastAsia" w:hAnsiTheme="minorEastAsia" w:eastAsiaTheme="minorEastAsia"/>
          <w:color w:val="auto"/>
          <w:sz w:val="32"/>
          <w:szCs w:val="32"/>
        </w:rPr>
        <w:t>%。</w:t>
      </w:r>
    </w:p>
    <w:p>
      <w:pPr>
        <w:pStyle w:val="10"/>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asciiTheme="minorEastAsia" w:hAnsiTheme="minorEastAsia" w:eastAsiaTheme="minorEastAsia"/>
          <w:color w:val="auto"/>
          <w:sz w:val="32"/>
          <w:szCs w:val="32"/>
        </w:rPr>
        <w:t>804</w:t>
      </w:r>
      <w:r>
        <w:rPr>
          <w:rFonts w:hint="eastAsia" w:asciiTheme="minorEastAsia" w:hAnsiTheme="minorEastAsia" w:eastAsiaTheme="minorEastAsia"/>
          <w:color w:val="auto"/>
          <w:sz w:val="32"/>
          <w:szCs w:val="32"/>
        </w:rPr>
        <w:t>.81万元，支出决算数为</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万元，完成年初预算的</w:t>
      </w:r>
      <w:r>
        <w:rPr>
          <w:rFonts w:asciiTheme="minorEastAsia" w:hAnsiTheme="minorEastAsia" w:eastAsiaTheme="minorEastAsia"/>
          <w:color w:val="auto"/>
          <w:sz w:val="32"/>
          <w:szCs w:val="32"/>
        </w:rPr>
        <w:t>62</w:t>
      </w:r>
      <w:r>
        <w:rPr>
          <w:rFonts w:hint="eastAsia" w:asciiTheme="minorEastAsia" w:hAnsiTheme="minorEastAsia" w:eastAsiaTheme="minorEastAsia"/>
          <w:color w:val="auto"/>
          <w:sz w:val="32"/>
          <w:szCs w:val="32"/>
        </w:rPr>
        <w:t>%。其中：</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1、一般公共服务（类）03（款）01、03、99（项）。</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年初预算为702.7万元,支出决算为418.76万元，完成年初预算的</w:t>
      </w:r>
      <w:r>
        <w:rPr>
          <w:rFonts w:asciiTheme="minorEastAsia" w:hAnsiTheme="minorEastAsia" w:eastAsiaTheme="minorEastAsia"/>
          <w:color w:val="auto"/>
          <w:sz w:val="32"/>
          <w:szCs w:val="32"/>
        </w:rPr>
        <w:t>70.4</w:t>
      </w:r>
      <w:r>
        <w:rPr>
          <w:rFonts w:hint="eastAsia" w:asciiTheme="minorEastAsia" w:hAnsiTheme="minorEastAsia" w:eastAsiaTheme="minorEastAsia"/>
          <w:color w:val="auto"/>
          <w:sz w:val="32"/>
          <w:szCs w:val="32"/>
        </w:rPr>
        <w:t>%，决算数小于年初预算数的主要原因是：厉行节约，压减支出。</w:t>
      </w:r>
    </w:p>
    <w:p>
      <w:pPr>
        <w:pStyle w:val="1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2、文化旅游体育与传媒（类）01（款）99（项）。</w:t>
      </w:r>
    </w:p>
    <w:p>
      <w:pPr>
        <w:pStyle w:val="1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年初预算为40万元，支出决算为</w:t>
      </w:r>
      <w:r>
        <w:rPr>
          <w:rFonts w:asciiTheme="minorEastAsia" w:hAnsiTheme="minorEastAsia" w:eastAsiaTheme="minorEastAsia"/>
          <w:color w:val="auto"/>
          <w:sz w:val="32"/>
          <w:szCs w:val="32"/>
        </w:rPr>
        <w:t>40</w:t>
      </w:r>
      <w:r>
        <w:rPr>
          <w:rFonts w:hint="eastAsia" w:asciiTheme="minorEastAsia" w:hAnsiTheme="minorEastAsia" w:eastAsiaTheme="minorEastAsia"/>
          <w:color w:val="auto"/>
          <w:sz w:val="32"/>
          <w:szCs w:val="32"/>
        </w:rPr>
        <w:t>万元，完成年初预算的100%。</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3、文化旅游体育与传媒（类）99（款）99（项）</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年初预算为2万元，支出决算为</w:t>
      </w:r>
      <w:r>
        <w:rPr>
          <w:rFonts w:asciiTheme="minorEastAsia" w:hAnsiTheme="minorEastAsia" w:eastAsiaTheme="minorEastAsia"/>
          <w:color w:val="auto"/>
          <w:sz w:val="32"/>
          <w:szCs w:val="32"/>
        </w:rPr>
        <w:t>9</w:t>
      </w:r>
      <w:r>
        <w:rPr>
          <w:rFonts w:hint="eastAsia" w:asciiTheme="minorEastAsia" w:hAnsiTheme="minorEastAsia" w:eastAsiaTheme="minorEastAsia"/>
          <w:color w:val="auto"/>
          <w:sz w:val="32"/>
          <w:szCs w:val="32"/>
        </w:rPr>
        <w:t>万元，完成年初预算的450%,增加主要原因为宣传工作需要追加支出。</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4、社会保障和就业（类）05（款）01（项）。</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年初预算为10.52元，支出决算为</w:t>
      </w:r>
      <w:r>
        <w:rPr>
          <w:rFonts w:asciiTheme="minorEastAsia" w:hAnsiTheme="minorEastAsia" w:eastAsiaTheme="minorEastAsia"/>
          <w:color w:val="auto"/>
          <w:sz w:val="32"/>
          <w:szCs w:val="32"/>
        </w:rPr>
        <w:t>11.33</w:t>
      </w:r>
      <w:r>
        <w:rPr>
          <w:rFonts w:hint="eastAsia" w:asciiTheme="minorEastAsia" w:hAnsiTheme="minorEastAsia" w:eastAsiaTheme="minorEastAsia"/>
          <w:color w:val="auto"/>
          <w:sz w:val="32"/>
          <w:szCs w:val="32"/>
        </w:rPr>
        <w:t>万元，完成年初预算的107.69%</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5、社会保障和就业（类）99（款）01（项）。</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年初预算为24.80万元，支出决算为</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万元，完成年初预算的40.32%</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6、节能环保（类）03（款）99（项）。</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万元，此项为后期追加。</w:t>
      </w:r>
    </w:p>
    <w:p>
      <w:pPr>
        <w:pStyle w:val="10"/>
        <w:rPr>
          <w:rFonts w:hAnsi="黑体"/>
          <w:b/>
          <w:color w:val="auto"/>
          <w:sz w:val="32"/>
          <w:szCs w:val="32"/>
        </w:rPr>
      </w:pPr>
      <w:r>
        <w:rPr>
          <w:rFonts w:hint="eastAsia" w:hAnsi="黑体"/>
          <w:b/>
          <w:color w:val="auto"/>
          <w:sz w:val="32"/>
          <w:szCs w:val="32"/>
        </w:rPr>
        <w:t>六、一般公共预算财政拨款基本支出决算情况说明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w:t>
      </w:r>
      <w:r>
        <w:rPr>
          <w:rFonts w:asciiTheme="minorEastAsia" w:hAnsiTheme="minorEastAsia" w:eastAsiaTheme="minorEastAsia"/>
          <w:color w:val="auto"/>
          <w:sz w:val="32"/>
          <w:szCs w:val="32"/>
        </w:rPr>
        <w:t>499.09</w:t>
      </w:r>
      <w:r>
        <w:rPr>
          <w:rFonts w:hint="eastAsia" w:asciiTheme="minorEastAsia" w:hAnsiTheme="minorEastAsia" w:eastAsiaTheme="minorEastAsia"/>
          <w:color w:val="auto"/>
          <w:sz w:val="32"/>
          <w:szCs w:val="32"/>
        </w:rPr>
        <w:t>万元，其中：人员经费</w:t>
      </w:r>
      <w:r>
        <w:rPr>
          <w:rFonts w:asciiTheme="minorEastAsia" w:hAnsiTheme="minorEastAsia" w:eastAsiaTheme="minorEastAsia"/>
          <w:color w:val="auto"/>
          <w:sz w:val="32"/>
          <w:szCs w:val="32"/>
        </w:rPr>
        <w:t>223.82</w:t>
      </w:r>
      <w:r>
        <w:rPr>
          <w:rFonts w:hint="eastAsia" w:asciiTheme="minorEastAsia" w:hAnsiTheme="minorEastAsia" w:eastAsiaTheme="minorEastAsia"/>
          <w:color w:val="auto"/>
          <w:sz w:val="32"/>
          <w:szCs w:val="32"/>
        </w:rPr>
        <w:t>万元，占基本支出的</w:t>
      </w:r>
      <w:r>
        <w:rPr>
          <w:rFonts w:asciiTheme="minorEastAsia" w:hAnsiTheme="minorEastAsia" w:eastAsiaTheme="minorEastAsia"/>
          <w:color w:val="auto"/>
          <w:sz w:val="32"/>
          <w:szCs w:val="32"/>
        </w:rPr>
        <w:t>44.84</w:t>
      </w:r>
      <w:r>
        <w:rPr>
          <w:rFonts w:hint="eastAsia" w:asciiTheme="minorEastAsia" w:hAnsiTheme="minorEastAsia" w:eastAsiaTheme="minorEastAsia"/>
          <w:color w:val="auto"/>
          <w:sz w:val="32"/>
          <w:szCs w:val="32"/>
        </w:rPr>
        <w:t>%,主要包括基本工资、津贴补贴、奖金、伙食补助费、机关事业单位基本养老保险缴费、职工基本医疗保险缴费、其他社会保障缴费、住房公积金、其他工资福利支出、离休费、抚恤金、生活补助、奖励金、其他对个人和家庭的补助等；公用经费</w:t>
      </w:r>
      <w:r>
        <w:rPr>
          <w:rFonts w:asciiTheme="minorEastAsia" w:hAnsiTheme="minorEastAsia" w:eastAsiaTheme="minorEastAsia"/>
          <w:color w:val="auto"/>
          <w:sz w:val="32"/>
          <w:szCs w:val="32"/>
        </w:rPr>
        <w:t>275.27</w:t>
      </w:r>
      <w:r>
        <w:rPr>
          <w:rFonts w:hint="eastAsia" w:asciiTheme="minorEastAsia" w:hAnsiTheme="minorEastAsia" w:eastAsiaTheme="minorEastAsia"/>
          <w:color w:val="auto"/>
          <w:sz w:val="32"/>
          <w:szCs w:val="32"/>
        </w:rPr>
        <w:t>万元，占基本支出的</w:t>
      </w:r>
      <w:r>
        <w:rPr>
          <w:rFonts w:asciiTheme="minorEastAsia" w:hAnsiTheme="minorEastAsia" w:eastAsiaTheme="minorEastAsia"/>
          <w:color w:val="auto"/>
          <w:sz w:val="32"/>
          <w:szCs w:val="32"/>
        </w:rPr>
        <w:t>55.1</w:t>
      </w:r>
      <w:r>
        <w:rPr>
          <w:rFonts w:hint="eastAsia" w:asciiTheme="minorEastAsia" w:hAnsiTheme="minorEastAsia" w:eastAsiaTheme="minorEastAsia"/>
          <w:color w:val="auto"/>
          <w:sz w:val="32"/>
          <w:szCs w:val="32"/>
        </w:rPr>
        <w:t>5%，主要包括办公费、印刷费、咨询费、水费、电费、差旅费、工会经费、其他商品和服务支出、办公设备购置等。</w:t>
      </w:r>
    </w:p>
    <w:p>
      <w:pPr>
        <w:pStyle w:val="10"/>
        <w:rPr>
          <w:rFonts w:hAnsi="黑体"/>
          <w:b/>
          <w:color w:val="auto"/>
          <w:sz w:val="32"/>
          <w:szCs w:val="32"/>
        </w:rPr>
      </w:pPr>
      <w:r>
        <w:rPr>
          <w:rFonts w:hint="eastAsia" w:hAnsi="黑体"/>
          <w:b/>
          <w:color w:val="auto"/>
          <w:sz w:val="32"/>
          <w:szCs w:val="32"/>
        </w:rPr>
        <w:t>七、一般公共预算财政拨款三公经费支出决算情况说明</w:t>
      </w:r>
    </w:p>
    <w:p>
      <w:pPr>
        <w:pStyle w:val="1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“三公”经费财政拨款支出预算数为2万元</w:t>
      </w:r>
      <w:r>
        <w:rPr>
          <w:rFonts w:hint="eastAsia" w:asciiTheme="minorEastAsia" w:hAnsiTheme="minorEastAsia" w:eastAsiaTheme="minorEastAsia"/>
          <w:b/>
          <w:color w:val="auto"/>
          <w:sz w:val="32"/>
          <w:szCs w:val="32"/>
        </w:rPr>
        <w:t>，</w:t>
      </w:r>
      <w:r>
        <w:rPr>
          <w:rFonts w:hint="eastAsia" w:asciiTheme="minorEastAsia" w:hAnsiTheme="minorEastAsia" w:eastAsiaTheme="minorEastAsia"/>
          <w:color w:val="auto"/>
          <w:sz w:val="32"/>
          <w:szCs w:val="32"/>
        </w:rPr>
        <w:t>支出决算为</w:t>
      </w:r>
      <w:r>
        <w:rPr>
          <w:rFonts w:asciiTheme="minorEastAsia" w:hAnsiTheme="minorEastAsia" w:eastAsiaTheme="minorEastAsia"/>
          <w:color w:val="auto"/>
          <w:sz w:val="32"/>
          <w:szCs w:val="32"/>
        </w:rPr>
        <w:t>0.11</w:t>
      </w:r>
      <w:r>
        <w:rPr>
          <w:rFonts w:hint="eastAsia" w:asciiTheme="minorEastAsia" w:hAnsiTheme="minorEastAsia" w:eastAsiaTheme="minorEastAsia"/>
          <w:color w:val="auto"/>
          <w:sz w:val="32"/>
          <w:szCs w:val="32"/>
        </w:rPr>
        <w:t>万元，完成预算的6%，其中：</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公务接待费支出预算为2万元，支出决算为</w:t>
      </w:r>
      <w:r>
        <w:rPr>
          <w:rFonts w:asciiTheme="minorEastAsia" w:hAnsiTheme="minorEastAsia" w:eastAsiaTheme="minorEastAsia"/>
          <w:color w:val="auto"/>
          <w:sz w:val="32"/>
          <w:szCs w:val="32"/>
        </w:rPr>
        <w:t>0.11</w:t>
      </w:r>
      <w:r>
        <w:rPr>
          <w:rFonts w:hint="eastAsia" w:asciiTheme="minorEastAsia" w:hAnsiTheme="minorEastAsia" w:eastAsiaTheme="minorEastAsia"/>
          <w:color w:val="auto"/>
          <w:sz w:val="32"/>
          <w:szCs w:val="32"/>
        </w:rPr>
        <w:t>万元，完成预算的6%，决算数小于年初预算数的主要原因是根据《中央八项规定》及《党政机关厉行节约反对浪费条例》的要求，压减“三公”经费支出；与上年相比减少</w:t>
      </w:r>
      <w:r>
        <w:rPr>
          <w:rFonts w:asciiTheme="minorEastAsia" w:hAnsiTheme="minorEastAsia" w:eastAsiaTheme="minorEastAsia"/>
          <w:color w:val="auto"/>
          <w:sz w:val="32"/>
          <w:szCs w:val="32"/>
        </w:rPr>
        <w:t>0.88</w:t>
      </w:r>
      <w:r>
        <w:rPr>
          <w:rFonts w:hint="eastAsia" w:asciiTheme="minorEastAsia" w:hAnsiTheme="minorEastAsia" w:eastAsiaTheme="minorEastAsia"/>
          <w:color w:val="auto"/>
          <w:sz w:val="32"/>
          <w:szCs w:val="32"/>
        </w:rPr>
        <w:t>万元，减少88.85%，减少的主要原因是根据《中央八项规定》</w:t>
      </w:r>
      <w:r>
        <w:rPr>
          <w:rFonts w:hint="eastAsia" w:asciiTheme="minorEastAsia" w:hAnsiTheme="minorEastAsia" w:eastAsiaTheme="minorEastAsia"/>
          <w:color w:val="auto"/>
          <w:sz w:val="32"/>
          <w:szCs w:val="32"/>
        </w:rPr>
        <w:t>及《党政机关厉行节约反对浪费条例》的要求，压减“三公”经费</w:t>
      </w:r>
      <w:bookmarkStart w:id="0" w:name="_GoBack"/>
      <w:bookmarkEnd w:id="0"/>
      <w:r>
        <w:rPr>
          <w:rFonts w:hint="eastAsia" w:asciiTheme="minorEastAsia" w:hAnsiTheme="minorEastAsia" w:eastAsiaTheme="minorEastAsia"/>
          <w:color w:val="auto"/>
          <w:sz w:val="32"/>
          <w:szCs w:val="32"/>
        </w:rPr>
        <w:t>支出。</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公务用车购置费及运行维护费支出预算为0万元，支出决算为0（纳入公车平台）万元，与上年相比减少</w:t>
      </w:r>
      <w:r>
        <w:rPr>
          <w:rFonts w:asciiTheme="minorEastAsia" w:hAnsiTheme="minorEastAsia" w:eastAsiaTheme="minorEastAsia"/>
          <w:color w:val="auto"/>
          <w:sz w:val="32"/>
          <w:szCs w:val="32"/>
        </w:rPr>
        <w:t>0</w:t>
      </w:r>
      <w:r>
        <w:rPr>
          <w:rFonts w:hint="eastAsia" w:asciiTheme="minorEastAsia" w:hAnsiTheme="minorEastAsia" w:eastAsiaTheme="minorEastAsia"/>
          <w:color w:val="auto"/>
          <w:sz w:val="32"/>
          <w:szCs w:val="32"/>
        </w:rPr>
        <w:t>万元，减少</w:t>
      </w:r>
      <w:r>
        <w:rPr>
          <w:rFonts w:asciiTheme="minorEastAsia" w:hAnsiTheme="minorEastAsia" w:eastAsiaTheme="minorEastAsia"/>
          <w:color w:val="auto"/>
          <w:sz w:val="32"/>
          <w:szCs w:val="32"/>
        </w:rPr>
        <w:t>0</w:t>
      </w:r>
      <w:r>
        <w:rPr>
          <w:rFonts w:hint="eastAsia" w:asciiTheme="minorEastAsia" w:hAnsiTheme="minorEastAsia" w:eastAsiaTheme="minorEastAsia"/>
          <w:color w:val="auto"/>
          <w:sz w:val="32"/>
          <w:szCs w:val="32"/>
        </w:rPr>
        <w:t>%。</w:t>
      </w:r>
    </w:p>
    <w:p>
      <w:pPr>
        <w:pStyle w:val="10"/>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2019年度“三公”经费财政拨款支出决算中，公务接待费支出决算0.11万元，占100%,因公出国（境）费支出决算0万元，占0%,公务用车购置费及运行维护费支出决算0万元，占0%。其中：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2、公务接待费支出决算为0.11万元，全年共接待来访团组1个、来宾8人次，主要是省级媒体来鹤城采访发生的接待支出。</w:t>
      </w:r>
    </w:p>
    <w:p>
      <w:pPr>
        <w:ind w:firstLine="800" w:firstLineChars="250"/>
        <w:rPr>
          <w:rFonts w:cs="黑体" w:asciiTheme="minorEastAsia" w:hAnsiTheme="minorEastAsia"/>
          <w:kern w:val="0"/>
          <w:sz w:val="32"/>
          <w:szCs w:val="32"/>
        </w:rPr>
      </w:pPr>
      <w:r>
        <w:rPr>
          <w:rFonts w:hint="eastAsia" w:asciiTheme="minorEastAsia" w:hAnsiTheme="minorEastAsia"/>
          <w:sz w:val="32"/>
          <w:szCs w:val="32"/>
        </w:rPr>
        <w:t>3、公务用车购置费及运行维护费支出决算为0万元，其中：公务用车购置费0万元。公务用车运行维护费0万元。截止2019年12月31日，我单位开支财政拨款的公务用车保有量为0辆。</w:t>
      </w:r>
    </w:p>
    <w:p>
      <w:pPr>
        <w:pStyle w:val="10"/>
        <w:rPr>
          <w:rFonts w:hAnsi="黑体"/>
          <w:b/>
          <w:color w:val="auto"/>
          <w:sz w:val="32"/>
          <w:szCs w:val="32"/>
        </w:rPr>
      </w:pPr>
      <w:r>
        <w:rPr>
          <w:rFonts w:hint="eastAsia" w:hAnsi="黑体"/>
          <w:b/>
          <w:color w:val="auto"/>
          <w:sz w:val="32"/>
          <w:szCs w:val="32"/>
        </w:rPr>
        <w:t>八、政府性基金预算收入支出决算情况</w:t>
      </w:r>
    </w:p>
    <w:p>
      <w:pPr>
        <w:pStyle w:val="1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2019年度政府性基金预算财政拨款收入0万元；年初结转和结余0万元；支出0万元，其中基本支出0万元，项目支出0万元；年末结转和结余0万元。   </w:t>
      </w:r>
    </w:p>
    <w:p>
      <w:pPr>
        <w:pStyle w:val="10"/>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说明：本单位无政府性基金收支。</w:t>
      </w:r>
    </w:p>
    <w:p>
      <w:pPr>
        <w:pStyle w:val="10"/>
        <w:rPr>
          <w:rFonts w:hAnsi="黑体"/>
          <w:b/>
          <w:color w:val="auto"/>
          <w:sz w:val="32"/>
          <w:szCs w:val="32"/>
        </w:rPr>
      </w:pPr>
      <w:r>
        <w:rPr>
          <w:rFonts w:hint="eastAsia" w:hAnsi="黑体"/>
          <w:b/>
          <w:color w:val="auto"/>
          <w:sz w:val="32"/>
          <w:szCs w:val="32"/>
        </w:rPr>
        <w:t>九、关于2019年度预算绩效情况说明</w:t>
      </w:r>
    </w:p>
    <w:p>
      <w:pPr>
        <w:ind w:firstLine="640" w:firstLineChars="200"/>
        <w:rPr>
          <w:rFonts w:asciiTheme="minorEastAsia" w:hAnsiTheme="minorEastAsia"/>
          <w:sz w:val="32"/>
          <w:szCs w:val="32"/>
        </w:rPr>
      </w:pPr>
      <w:r>
        <w:rPr>
          <w:rFonts w:hint="eastAsia" w:ascii="宋体" w:hAnsi="宋体" w:eastAsia="宋体" w:cs="宋体"/>
          <w:sz w:val="32"/>
          <w:szCs w:val="32"/>
        </w:rPr>
        <w:t>2019年，我单位积极推进预算绩效管理，合理制定和编报年度预算，加强资金管理，提高资金使用效益，建立完善内部监督机制，合理列支年度经费支出。</w:t>
      </w:r>
    </w:p>
    <w:p>
      <w:pPr>
        <w:pStyle w:val="10"/>
        <w:rPr>
          <w:rFonts w:asciiTheme="minorEastAsia" w:hAnsiTheme="minorEastAsia" w:eastAsiaTheme="minorEastAsia"/>
          <w:color w:val="auto"/>
          <w:sz w:val="32"/>
          <w:szCs w:val="32"/>
        </w:rPr>
      </w:pPr>
      <w:r>
        <w:rPr>
          <w:rFonts w:hint="eastAsia" w:hAnsi="黑体"/>
          <w:b/>
          <w:color w:val="auto"/>
          <w:sz w:val="32"/>
          <w:szCs w:val="32"/>
        </w:rPr>
        <w:t>十、其他重要事项情况说明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autoSpaceDE w:val="0"/>
        <w:autoSpaceDN w:val="0"/>
        <w:adjustRightInd w:val="0"/>
        <w:spacing w:line="600" w:lineRule="exact"/>
        <w:ind w:firstLine="640" w:firstLineChars="200"/>
        <w:rPr>
          <w:rFonts w:ascii="宋体" w:hAnsi="宋体" w:eastAsia="宋体"/>
          <w:kern w:val="0"/>
          <w:sz w:val="32"/>
          <w:szCs w:val="32"/>
        </w:rPr>
      </w:pPr>
      <w:r>
        <w:rPr>
          <w:rFonts w:hint="eastAsia" w:ascii="宋体" w:hAnsi="宋体" w:eastAsia="宋体" w:cs="黑体"/>
          <w:kern w:val="0"/>
          <w:sz w:val="32"/>
          <w:szCs w:val="32"/>
        </w:rPr>
        <w:t>本部门2019 年度机关运行经费支出</w:t>
      </w:r>
      <w:r>
        <w:rPr>
          <w:rFonts w:ascii="宋体" w:hAnsi="宋体" w:eastAsia="宋体" w:cs="黑体"/>
          <w:kern w:val="0"/>
          <w:sz w:val="32"/>
          <w:szCs w:val="32"/>
        </w:rPr>
        <w:t>275.27</w:t>
      </w:r>
      <w:r>
        <w:rPr>
          <w:rFonts w:hint="eastAsia" w:ascii="宋体" w:hAnsi="宋体" w:eastAsia="宋体" w:cs="黑体"/>
          <w:kern w:val="0"/>
          <w:sz w:val="32"/>
          <w:szCs w:val="32"/>
        </w:rPr>
        <w:t>万元，</w:t>
      </w:r>
      <w:r>
        <w:rPr>
          <w:rFonts w:hint="eastAsia" w:ascii="宋体" w:hAnsi="宋体" w:eastAsia="宋体"/>
          <w:sz w:val="32"/>
          <w:szCs w:val="32"/>
        </w:rPr>
        <w:t>其中，办公费214.64万元，印刷费15.3万元，邮电费0.35万元，手续费0.01万元，差旅费2.08万元，公务接待费0.11万元，工会经费3.15万元，其他交通费用5.66万元，其他商品和服务支出29万元，办公设备购置4.97万元。</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2019年本部门无举办会议费、节庆、晚会、论坛等活动。</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2019年，我部严格按照年初预算批复认真组织实施,严格执行财经纪律相关管理规定，做到各项收支安排使用符合事业发展计划和财政政策的要求，确保了单位正常运行和重大项目的实施。</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在今后的工作中,我部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p>
    <w:p>
      <w:pPr>
        <w:pStyle w:val="10"/>
        <w:rPr>
          <w:rFonts w:asciiTheme="minorEastAsia" w:hAnsiTheme="minorEastAsia" w:eastAsiaTheme="minorEastAsia"/>
          <w:color w:val="auto"/>
          <w:sz w:val="32"/>
          <w:szCs w:val="32"/>
        </w:rPr>
      </w:pPr>
      <w:r>
        <w:rPr>
          <w:rFonts w:asciiTheme="minorEastAsia" w:hAnsiTheme="minorEastAsia" w:eastAsiaTheme="minorEastAsia"/>
          <w:color w:val="auto"/>
          <w:sz w:val="32"/>
          <w:szCs w:val="32"/>
        </w:rPr>
        <w:t> </w:t>
      </w:r>
    </w:p>
    <w:p>
      <w:pPr>
        <w:ind w:firstLine="640" w:firstLineChars="200"/>
        <w:jc w:val="left"/>
        <w:rPr>
          <w:rFonts w:cs="黑体" w:asciiTheme="minorEastAsia" w:hAnsiTheme="minorEastAsia"/>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82820"/>
    <w:rsid w:val="0009399A"/>
    <w:rsid w:val="000A0F29"/>
    <w:rsid w:val="000A3F69"/>
    <w:rsid w:val="000F38B7"/>
    <w:rsid w:val="00136A79"/>
    <w:rsid w:val="00152C6D"/>
    <w:rsid w:val="00155D2C"/>
    <w:rsid w:val="00162D39"/>
    <w:rsid w:val="00192351"/>
    <w:rsid w:val="0019434C"/>
    <w:rsid w:val="001A67DB"/>
    <w:rsid w:val="001C3CD8"/>
    <w:rsid w:val="001D42DB"/>
    <w:rsid w:val="001D434D"/>
    <w:rsid w:val="001D51E5"/>
    <w:rsid w:val="001E0CD3"/>
    <w:rsid w:val="001F0C3B"/>
    <w:rsid w:val="001F4E87"/>
    <w:rsid w:val="00214427"/>
    <w:rsid w:val="00214C6C"/>
    <w:rsid w:val="00223A46"/>
    <w:rsid w:val="00225113"/>
    <w:rsid w:val="0024308C"/>
    <w:rsid w:val="00265724"/>
    <w:rsid w:val="0027426B"/>
    <w:rsid w:val="00280F29"/>
    <w:rsid w:val="002A0C37"/>
    <w:rsid w:val="002B42A8"/>
    <w:rsid w:val="002D4CF0"/>
    <w:rsid w:val="0030378C"/>
    <w:rsid w:val="003479BD"/>
    <w:rsid w:val="00355A6E"/>
    <w:rsid w:val="00366604"/>
    <w:rsid w:val="003669CD"/>
    <w:rsid w:val="003768D5"/>
    <w:rsid w:val="00386521"/>
    <w:rsid w:val="00390164"/>
    <w:rsid w:val="003A44D7"/>
    <w:rsid w:val="00411AF9"/>
    <w:rsid w:val="0042360F"/>
    <w:rsid w:val="00440352"/>
    <w:rsid w:val="004506F9"/>
    <w:rsid w:val="004547B8"/>
    <w:rsid w:val="00461FE8"/>
    <w:rsid w:val="004717A2"/>
    <w:rsid w:val="00482E7D"/>
    <w:rsid w:val="00491741"/>
    <w:rsid w:val="00494141"/>
    <w:rsid w:val="004D6717"/>
    <w:rsid w:val="004E4EEB"/>
    <w:rsid w:val="00500E5F"/>
    <w:rsid w:val="00507979"/>
    <w:rsid w:val="005122EF"/>
    <w:rsid w:val="00517C33"/>
    <w:rsid w:val="00523644"/>
    <w:rsid w:val="00524574"/>
    <w:rsid w:val="005247C8"/>
    <w:rsid w:val="00534998"/>
    <w:rsid w:val="0054069E"/>
    <w:rsid w:val="005552AF"/>
    <w:rsid w:val="00567E00"/>
    <w:rsid w:val="005706D6"/>
    <w:rsid w:val="00573F7C"/>
    <w:rsid w:val="00575DE5"/>
    <w:rsid w:val="005767CC"/>
    <w:rsid w:val="00590D9F"/>
    <w:rsid w:val="00595D26"/>
    <w:rsid w:val="005A74E6"/>
    <w:rsid w:val="005B4AFA"/>
    <w:rsid w:val="005C0B2F"/>
    <w:rsid w:val="005D4D55"/>
    <w:rsid w:val="005D7FF3"/>
    <w:rsid w:val="005E2CFB"/>
    <w:rsid w:val="005E6675"/>
    <w:rsid w:val="0062378F"/>
    <w:rsid w:val="00651EEC"/>
    <w:rsid w:val="00652413"/>
    <w:rsid w:val="006A351B"/>
    <w:rsid w:val="006B0422"/>
    <w:rsid w:val="006B7B40"/>
    <w:rsid w:val="006C1B53"/>
    <w:rsid w:val="006D7730"/>
    <w:rsid w:val="006E5284"/>
    <w:rsid w:val="006F3EB5"/>
    <w:rsid w:val="00702E34"/>
    <w:rsid w:val="00704395"/>
    <w:rsid w:val="00720FF1"/>
    <w:rsid w:val="00752A16"/>
    <w:rsid w:val="00755806"/>
    <w:rsid w:val="0076073C"/>
    <w:rsid w:val="007636DD"/>
    <w:rsid w:val="00777A63"/>
    <w:rsid w:val="00783054"/>
    <w:rsid w:val="00787EB6"/>
    <w:rsid w:val="00792A6D"/>
    <w:rsid w:val="007A1615"/>
    <w:rsid w:val="007A7573"/>
    <w:rsid w:val="007B5382"/>
    <w:rsid w:val="007E4B48"/>
    <w:rsid w:val="00812ED5"/>
    <w:rsid w:val="008277D9"/>
    <w:rsid w:val="00844C7D"/>
    <w:rsid w:val="00854481"/>
    <w:rsid w:val="00855C19"/>
    <w:rsid w:val="00875B19"/>
    <w:rsid w:val="008A11EE"/>
    <w:rsid w:val="008A3E8D"/>
    <w:rsid w:val="008B5071"/>
    <w:rsid w:val="008D6FED"/>
    <w:rsid w:val="008D70EA"/>
    <w:rsid w:val="008F25E3"/>
    <w:rsid w:val="009237C4"/>
    <w:rsid w:val="00950252"/>
    <w:rsid w:val="00967F5D"/>
    <w:rsid w:val="00993C2C"/>
    <w:rsid w:val="009A0F95"/>
    <w:rsid w:val="009A4775"/>
    <w:rsid w:val="009B3ADF"/>
    <w:rsid w:val="009C3B52"/>
    <w:rsid w:val="009F7943"/>
    <w:rsid w:val="00A00D04"/>
    <w:rsid w:val="00A23C2C"/>
    <w:rsid w:val="00A42218"/>
    <w:rsid w:val="00A551E7"/>
    <w:rsid w:val="00A670CC"/>
    <w:rsid w:val="00A70249"/>
    <w:rsid w:val="00AD28D5"/>
    <w:rsid w:val="00AD675D"/>
    <w:rsid w:val="00AE2453"/>
    <w:rsid w:val="00B00D19"/>
    <w:rsid w:val="00B33BEA"/>
    <w:rsid w:val="00B57C9F"/>
    <w:rsid w:val="00B65125"/>
    <w:rsid w:val="00B83B7E"/>
    <w:rsid w:val="00B845B3"/>
    <w:rsid w:val="00B85D8B"/>
    <w:rsid w:val="00B969D9"/>
    <w:rsid w:val="00BA07A0"/>
    <w:rsid w:val="00BA0FC4"/>
    <w:rsid w:val="00BA5D03"/>
    <w:rsid w:val="00BB036B"/>
    <w:rsid w:val="00BC7861"/>
    <w:rsid w:val="00BE3674"/>
    <w:rsid w:val="00BE45FA"/>
    <w:rsid w:val="00C3049A"/>
    <w:rsid w:val="00C31B1E"/>
    <w:rsid w:val="00C34194"/>
    <w:rsid w:val="00C37C05"/>
    <w:rsid w:val="00C4667F"/>
    <w:rsid w:val="00C57473"/>
    <w:rsid w:val="00C65869"/>
    <w:rsid w:val="00C71022"/>
    <w:rsid w:val="00C77645"/>
    <w:rsid w:val="00CC1662"/>
    <w:rsid w:val="00CE04C3"/>
    <w:rsid w:val="00CE431D"/>
    <w:rsid w:val="00CE76A0"/>
    <w:rsid w:val="00CF34F9"/>
    <w:rsid w:val="00D148C6"/>
    <w:rsid w:val="00D579C6"/>
    <w:rsid w:val="00D66FE4"/>
    <w:rsid w:val="00D844DC"/>
    <w:rsid w:val="00D93AA5"/>
    <w:rsid w:val="00DB11B8"/>
    <w:rsid w:val="00DB314F"/>
    <w:rsid w:val="00DC35EB"/>
    <w:rsid w:val="00DC3A6D"/>
    <w:rsid w:val="00DC4D32"/>
    <w:rsid w:val="00DD06FF"/>
    <w:rsid w:val="00DD5FE9"/>
    <w:rsid w:val="00DE55A5"/>
    <w:rsid w:val="00E00C7A"/>
    <w:rsid w:val="00E26B8E"/>
    <w:rsid w:val="00E55B68"/>
    <w:rsid w:val="00E654ED"/>
    <w:rsid w:val="00E85949"/>
    <w:rsid w:val="00EE1263"/>
    <w:rsid w:val="00F30A53"/>
    <w:rsid w:val="00F47DB0"/>
    <w:rsid w:val="00F57448"/>
    <w:rsid w:val="00F67496"/>
    <w:rsid w:val="00F74360"/>
    <w:rsid w:val="00FB462F"/>
    <w:rsid w:val="00FD7297"/>
    <w:rsid w:val="00FE16FA"/>
    <w:rsid w:val="00FE328A"/>
    <w:rsid w:val="00FE793F"/>
    <w:rsid w:val="04A06CBB"/>
    <w:rsid w:val="04B3341E"/>
    <w:rsid w:val="05B30B3D"/>
    <w:rsid w:val="0BD67F0A"/>
    <w:rsid w:val="17F96AB7"/>
    <w:rsid w:val="1C1207ED"/>
    <w:rsid w:val="21315A94"/>
    <w:rsid w:val="280712FC"/>
    <w:rsid w:val="331C06FB"/>
    <w:rsid w:val="36532086"/>
    <w:rsid w:val="3CA43E92"/>
    <w:rsid w:val="3E081646"/>
    <w:rsid w:val="3EAD4F0D"/>
    <w:rsid w:val="3FAA6393"/>
    <w:rsid w:val="42A9180D"/>
    <w:rsid w:val="47497A5A"/>
    <w:rsid w:val="511354EE"/>
    <w:rsid w:val="550515F2"/>
    <w:rsid w:val="57DF4669"/>
    <w:rsid w:val="5A600B38"/>
    <w:rsid w:val="5AC4016A"/>
    <w:rsid w:val="6CBF495D"/>
    <w:rsid w:val="6E1D3EDC"/>
    <w:rsid w:val="6E47037E"/>
    <w:rsid w:val="6FAB1971"/>
    <w:rsid w:val="71A8130D"/>
    <w:rsid w:val="7D603186"/>
    <w:rsid w:val="7F0041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0"/>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648</Words>
  <Characters>3697</Characters>
  <Lines>30</Lines>
  <Paragraphs>8</Paragraphs>
  <TotalTime>2</TotalTime>
  <ScaleCrop>false</ScaleCrop>
  <LinksUpToDate>false</LinksUpToDate>
  <CharactersWithSpaces>4337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2021-06-05T10:02:00Z</dcterms:created>
  <dc:creator>李航 null</dc:creator>
  <cp:lastModifiedBy>且歌</cp:lastModifiedBy>
  <cp:lastPrinted>2021-06-03T07:51:00Z</cp:lastPrinted>
  <dcterms:modified xsi:type="dcterms:W3CDTF">2021-06-06T11:56:55Z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19FC20416D99459EBF8AFDC94FE78ECE</vt:lpwstr>
  </property>
</Properties>
</file>