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0BE" w:rsidRDefault="007220BE">
      <w:pPr>
        <w:pStyle w:val="Default"/>
        <w:jc w:val="center"/>
        <w:rPr>
          <w:sz w:val="56"/>
          <w:szCs w:val="56"/>
        </w:rPr>
      </w:pPr>
    </w:p>
    <w:p w:rsidR="007220BE" w:rsidRDefault="007220BE">
      <w:pPr>
        <w:pStyle w:val="Default"/>
        <w:jc w:val="center"/>
        <w:rPr>
          <w:sz w:val="56"/>
          <w:szCs w:val="56"/>
        </w:rPr>
      </w:pPr>
    </w:p>
    <w:p w:rsidR="007220BE" w:rsidRDefault="007220BE">
      <w:pPr>
        <w:pStyle w:val="Default"/>
        <w:jc w:val="center"/>
        <w:rPr>
          <w:sz w:val="84"/>
          <w:szCs w:val="84"/>
        </w:rPr>
      </w:pPr>
    </w:p>
    <w:p w:rsidR="007220BE" w:rsidRDefault="007220BE">
      <w:pPr>
        <w:pStyle w:val="Default"/>
        <w:jc w:val="center"/>
        <w:rPr>
          <w:sz w:val="84"/>
          <w:szCs w:val="84"/>
        </w:rPr>
      </w:pPr>
    </w:p>
    <w:p w:rsidR="007220BE" w:rsidRDefault="004B3537">
      <w:pPr>
        <w:pStyle w:val="Default"/>
        <w:jc w:val="center"/>
        <w:rPr>
          <w:sz w:val="84"/>
          <w:szCs w:val="84"/>
        </w:rPr>
      </w:pPr>
      <w:r>
        <w:rPr>
          <w:rFonts w:hint="eastAsia"/>
          <w:sz w:val="84"/>
          <w:szCs w:val="84"/>
        </w:rPr>
        <w:t>2019年度</w:t>
      </w:r>
    </w:p>
    <w:p w:rsidR="007220BE" w:rsidRDefault="004B3537">
      <w:pPr>
        <w:pStyle w:val="Default"/>
        <w:jc w:val="center"/>
        <w:rPr>
          <w:sz w:val="84"/>
          <w:szCs w:val="84"/>
        </w:rPr>
      </w:pPr>
      <w:r>
        <w:rPr>
          <w:rFonts w:hint="eastAsia"/>
          <w:sz w:val="84"/>
          <w:szCs w:val="84"/>
        </w:rPr>
        <w:t>鹤城区阳戏保护传承中心部门决算</w:t>
      </w:r>
    </w:p>
    <w:p w:rsidR="007220BE" w:rsidRDefault="007220BE">
      <w:pPr>
        <w:pStyle w:val="Default"/>
        <w:jc w:val="center"/>
        <w:rPr>
          <w:sz w:val="56"/>
          <w:szCs w:val="56"/>
        </w:rPr>
      </w:pPr>
    </w:p>
    <w:p w:rsidR="007220BE" w:rsidRDefault="007220BE">
      <w:pPr>
        <w:pStyle w:val="Default"/>
        <w:jc w:val="center"/>
        <w:rPr>
          <w:sz w:val="56"/>
          <w:szCs w:val="56"/>
        </w:rPr>
      </w:pPr>
    </w:p>
    <w:p w:rsidR="007220BE" w:rsidRDefault="007220BE">
      <w:pPr>
        <w:pStyle w:val="Default"/>
        <w:jc w:val="center"/>
        <w:rPr>
          <w:sz w:val="56"/>
          <w:szCs w:val="56"/>
        </w:rPr>
      </w:pPr>
    </w:p>
    <w:p w:rsidR="007220BE" w:rsidRDefault="007220BE">
      <w:pPr>
        <w:pStyle w:val="Default"/>
        <w:jc w:val="center"/>
        <w:rPr>
          <w:sz w:val="56"/>
          <w:szCs w:val="56"/>
        </w:rPr>
      </w:pPr>
    </w:p>
    <w:p w:rsidR="007220BE" w:rsidRDefault="007220BE">
      <w:pPr>
        <w:pStyle w:val="Default"/>
        <w:jc w:val="center"/>
        <w:rPr>
          <w:sz w:val="56"/>
          <w:szCs w:val="56"/>
        </w:rPr>
      </w:pPr>
    </w:p>
    <w:p w:rsidR="007220BE" w:rsidRDefault="007220BE">
      <w:pPr>
        <w:pStyle w:val="Default"/>
        <w:jc w:val="center"/>
        <w:rPr>
          <w:sz w:val="56"/>
          <w:szCs w:val="56"/>
        </w:rPr>
      </w:pPr>
    </w:p>
    <w:p w:rsidR="007220BE" w:rsidRDefault="007220BE">
      <w:pPr>
        <w:pStyle w:val="Default"/>
        <w:jc w:val="center"/>
        <w:rPr>
          <w:sz w:val="56"/>
          <w:szCs w:val="56"/>
        </w:rPr>
      </w:pPr>
    </w:p>
    <w:p w:rsidR="007220BE" w:rsidRDefault="007220BE">
      <w:pPr>
        <w:pStyle w:val="Default"/>
        <w:spacing w:line="540" w:lineRule="exact"/>
        <w:jc w:val="center"/>
        <w:rPr>
          <w:sz w:val="56"/>
          <w:szCs w:val="56"/>
        </w:rPr>
      </w:pPr>
    </w:p>
    <w:p w:rsidR="007220BE" w:rsidRDefault="004B3537">
      <w:pPr>
        <w:pStyle w:val="Default"/>
        <w:spacing w:line="520" w:lineRule="exact"/>
        <w:jc w:val="center"/>
        <w:rPr>
          <w:sz w:val="56"/>
          <w:szCs w:val="56"/>
        </w:rPr>
      </w:pPr>
      <w:r>
        <w:rPr>
          <w:rFonts w:hint="eastAsia"/>
          <w:sz w:val="56"/>
          <w:szCs w:val="56"/>
        </w:rPr>
        <w:t>目录</w:t>
      </w:r>
    </w:p>
    <w:p w:rsidR="007220BE" w:rsidRDefault="004B3537">
      <w:pPr>
        <w:pStyle w:val="Default"/>
        <w:spacing w:line="520" w:lineRule="exact"/>
        <w:rPr>
          <w:rFonts w:ascii="仿宋_GB2312" w:hAnsi="仿宋_GB2312" w:cs="仿宋_GB2312"/>
          <w:b/>
          <w:sz w:val="28"/>
          <w:szCs w:val="28"/>
        </w:rPr>
      </w:pPr>
      <w:r>
        <w:rPr>
          <w:rFonts w:hint="eastAsia"/>
          <w:b/>
          <w:sz w:val="28"/>
          <w:szCs w:val="28"/>
        </w:rPr>
        <w:t>第一部分单位概况</w:t>
      </w:r>
    </w:p>
    <w:p w:rsidR="007220BE" w:rsidRDefault="004B353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7220BE" w:rsidRDefault="004B353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7220BE" w:rsidRDefault="004B3537">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7220BE" w:rsidRDefault="004B353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7220BE" w:rsidRDefault="004B353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7220BE" w:rsidRDefault="004B353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7220BE" w:rsidRDefault="004B353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7220BE" w:rsidRDefault="004B353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7220BE" w:rsidRDefault="004B353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7220BE" w:rsidRDefault="004B353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七、一般公共预算财政拨款“三公”经费支出决算表</w:t>
      </w:r>
    </w:p>
    <w:p w:rsidR="007220BE" w:rsidRDefault="004B353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7220BE" w:rsidRDefault="004B3537">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7220BE" w:rsidRDefault="004B3537">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7220BE" w:rsidRDefault="004B3537">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7220BE" w:rsidRDefault="004B353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7220BE" w:rsidRDefault="004B353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7220BE" w:rsidRDefault="004B353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7220BE" w:rsidRDefault="004B353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7220BE" w:rsidRDefault="004B353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7220BE" w:rsidRDefault="004B353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7220BE" w:rsidRDefault="004B353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7220BE" w:rsidRDefault="004B3537">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7220BE" w:rsidRDefault="004B3537">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7220BE" w:rsidRDefault="004B3537">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7220BE" w:rsidRDefault="007220BE">
      <w:pPr>
        <w:jc w:val="center"/>
        <w:rPr>
          <w:sz w:val="72"/>
          <w:szCs w:val="72"/>
        </w:rPr>
      </w:pPr>
    </w:p>
    <w:p w:rsidR="007220BE" w:rsidRDefault="007220BE">
      <w:pPr>
        <w:jc w:val="center"/>
        <w:rPr>
          <w:sz w:val="72"/>
          <w:szCs w:val="72"/>
        </w:rPr>
      </w:pPr>
    </w:p>
    <w:p w:rsidR="007220BE" w:rsidRDefault="007220BE">
      <w:pPr>
        <w:rPr>
          <w:sz w:val="72"/>
          <w:szCs w:val="72"/>
        </w:rPr>
      </w:pPr>
    </w:p>
    <w:p w:rsidR="007220BE" w:rsidRDefault="007220BE">
      <w:pPr>
        <w:rPr>
          <w:sz w:val="72"/>
          <w:szCs w:val="72"/>
        </w:rPr>
      </w:pPr>
    </w:p>
    <w:p w:rsidR="007220BE" w:rsidRDefault="004B3537">
      <w:pPr>
        <w:pStyle w:val="Default"/>
        <w:jc w:val="center"/>
        <w:rPr>
          <w:sz w:val="84"/>
          <w:szCs w:val="84"/>
        </w:rPr>
      </w:pPr>
      <w:r>
        <w:rPr>
          <w:rFonts w:hint="eastAsia"/>
          <w:sz w:val="84"/>
          <w:szCs w:val="84"/>
        </w:rPr>
        <w:t>第一部分</w:t>
      </w:r>
    </w:p>
    <w:p w:rsidR="007220BE" w:rsidRDefault="007220BE">
      <w:pPr>
        <w:pStyle w:val="Default"/>
        <w:jc w:val="center"/>
        <w:rPr>
          <w:sz w:val="84"/>
          <w:szCs w:val="84"/>
        </w:rPr>
      </w:pPr>
    </w:p>
    <w:p w:rsidR="007220BE" w:rsidRDefault="004B3537">
      <w:pPr>
        <w:pStyle w:val="Default"/>
        <w:jc w:val="center"/>
        <w:rPr>
          <w:sz w:val="84"/>
          <w:szCs w:val="84"/>
        </w:rPr>
      </w:pPr>
      <w:r>
        <w:rPr>
          <w:rFonts w:hint="eastAsia"/>
          <w:sz w:val="84"/>
          <w:szCs w:val="84"/>
        </w:rPr>
        <w:t>阳戏保护传承中心概况</w:t>
      </w:r>
    </w:p>
    <w:p w:rsidR="007220BE" w:rsidRDefault="007220BE">
      <w:pPr>
        <w:jc w:val="center"/>
        <w:rPr>
          <w:sz w:val="72"/>
          <w:szCs w:val="72"/>
        </w:rPr>
      </w:pPr>
    </w:p>
    <w:p w:rsidR="007220BE" w:rsidRDefault="007220BE">
      <w:pPr>
        <w:jc w:val="center"/>
        <w:rPr>
          <w:sz w:val="72"/>
          <w:szCs w:val="72"/>
        </w:rPr>
      </w:pPr>
    </w:p>
    <w:p w:rsidR="007220BE" w:rsidRDefault="007220BE">
      <w:pPr>
        <w:jc w:val="center"/>
        <w:rPr>
          <w:sz w:val="72"/>
          <w:szCs w:val="72"/>
        </w:rPr>
      </w:pPr>
    </w:p>
    <w:p w:rsidR="007220BE" w:rsidRDefault="007220BE">
      <w:pPr>
        <w:jc w:val="center"/>
        <w:rPr>
          <w:sz w:val="72"/>
          <w:szCs w:val="72"/>
        </w:rPr>
      </w:pPr>
    </w:p>
    <w:p w:rsidR="007220BE" w:rsidRDefault="007220BE">
      <w:pPr>
        <w:jc w:val="center"/>
        <w:rPr>
          <w:sz w:val="72"/>
          <w:szCs w:val="72"/>
        </w:rPr>
      </w:pPr>
    </w:p>
    <w:p w:rsidR="007220BE" w:rsidRDefault="007220BE">
      <w:pPr>
        <w:pStyle w:val="a6"/>
        <w:ind w:left="720" w:firstLineChars="0" w:firstLine="0"/>
        <w:jc w:val="left"/>
        <w:rPr>
          <w:rFonts w:ascii="黑体" w:eastAsia="黑体" w:hAnsi="黑体"/>
          <w:sz w:val="32"/>
          <w:szCs w:val="32"/>
        </w:rPr>
      </w:pPr>
    </w:p>
    <w:p w:rsidR="007220BE" w:rsidRDefault="004B3537">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7220BE" w:rsidRDefault="004B3537">
      <w:pPr>
        <w:ind w:firstLineChars="200" w:firstLine="560"/>
        <w:jc w:val="left"/>
        <w:rPr>
          <w:rFonts w:ascii="仿宋_GB2312" w:eastAsia="仿宋_GB2312" w:hAnsiTheme="minorEastAsia"/>
          <w:sz w:val="28"/>
          <w:szCs w:val="32"/>
        </w:rPr>
      </w:pPr>
      <w:r>
        <w:rPr>
          <w:rFonts w:ascii="宋体" w:eastAsia="宋体" w:hAnsi="宋体" w:cs="宋体" w:hint="eastAsia"/>
          <w:bCs/>
          <w:kern w:val="0"/>
          <w:sz w:val="28"/>
          <w:szCs w:val="28"/>
        </w:rPr>
        <w:t>宣传贯彻党和国家的方针政策，送戏进基层，进社区，进农村；配合政府各项工作的公益性演出。</w:t>
      </w:r>
    </w:p>
    <w:p w:rsidR="007220BE" w:rsidRDefault="004B3537">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7220BE" w:rsidRDefault="004B3537">
      <w:pPr>
        <w:pStyle w:val="Default"/>
        <w:spacing w:line="520" w:lineRule="exact"/>
        <w:rPr>
          <w:rFonts w:ascii="宋体" w:eastAsia="宋体" w:hAnsi="宋体" w:cs="宋体"/>
          <w:sz w:val="28"/>
          <w:szCs w:val="28"/>
        </w:rPr>
      </w:pPr>
      <w:r>
        <w:rPr>
          <w:rFonts w:asciiTheme="minorEastAsia" w:eastAsiaTheme="minorEastAsia" w:hAnsiTheme="minorEastAsia" w:cstheme="minorBidi" w:hint="eastAsia"/>
          <w:bCs/>
          <w:color w:val="auto"/>
          <w:sz w:val="32"/>
          <w:szCs w:val="32"/>
        </w:rPr>
        <w:t>（一）内设机构设置。阳戏保护传承中心内设机构包括：</w:t>
      </w:r>
      <w:r>
        <w:rPr>
          <w:rFonts w:ascii="宋体" w:eastAsia="宋体" w:hAnsi="宋体" w:cs="宋体" w:hint="eastAsia"/>
          <w:bCs/>
          <w:sz w:val="28"/>
          <w:szCs w:val="28"/>
        </w:rPr>
        <w:t>内设7个股室，分别为：办公室、财务室、道具组、服装组、头饰组、鞋子组、音控室。</w:t>
      </w:r>
    </w:p>
    <w:p w:rsidR="007220BE" w:rsidRDefault="004B3537">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（二）决算单位构成。阳戏保护传承中心</w:t>
      </w:r>
      <w:r>
        <w:rPr>
          <w:rFonts w:asciiTheme="minorEastAsia" w:hAnsiTheme="minorEastAsia"/>
          <w:bCs/>
          <w:kern w:val="0"/>
          <w:sz w:val="32"/>
          <w:szCs w:val="32"/>
        </w:rPr>
        <w:t>2019</w:t>
      </w:r>
      <w:r>
        <w:rPr>
          <w:rFonts w:asciiTheme="minorEastAsia" w:hAnsiTheme="minorEastAsia" w:hint="eastAsia"/>
          <w:bCs/>
          <w:kern w:val="0"/>
          <w:sz w:val="32"/>
          <w:szCs w:val="32"/>
        </w:rPr>
        <w:t>年部门决算汇总公开单位构成包括：阳戏保护传承中心本级。</w:t>
      </w:r>
    </w:p>
    <w:p w:rsidR="007220BE" w:rsidRDefault="007220BE">
      <w:pPr>
        <w:jc w:val="left"/>
        <w:rPr>
          <w:rFonts w:ascii="仿宋_GB2312" w:eastAsia="仿宋_GB2312" w:hAnsiTheme="minorEastAsia"/>
          <w:sz w:val="28"/>
          <w:szCs w:val="32"/>
        </w:rPr>
      </w:pPr>
    </w:p>
    <w:p w:rsidR="007220BE" w:rsidRDefault="007220BE">
      <w:pPr>
        <w:jc w:val="center"/>
        <w:rPr>
          <w:rFonts w:ascii="黑体" w:eastAsia="黑体" w:hAnsi="黑体"/>
          <w:sz w:val="28"/>
          <w:szCs w:val="28"/>
        </w:rPr>
      </w:pPr>
    </w:p>
    <w:p w:rsidR="007220BE" w:rsidRDefault="007220BE">
      <w:pPr>
        <w:jc w:val="center"/>
        <w:rPr>
          <w:rFonts w:ascii="黑体" w:eastAsia="黑体" w:hAnsi="黑体"/>
          <w:sz w:val="28"/>
          <w:szCs w:val="28"/>
        </w:rPr>
      </w:pPr>
    </w:p>
    <w:p w:rsidR="007220BE" w:rsidRDefault="007220BE">
      <w:pPr>
        <w:jc w:val="center"/>
        <w:rPr>
          <w:rFonts w:ascii="黑体" w:eastAsia="黑体" w:hAnsi="黑体"/>
          <w:sz w:val="28"/>
          <w:szCs w:val="28"/>
        </w:rPr>
      </w:pPr>
    </w:p>
    <w:p w:rsidR="007220BE" w:rsidRDefault="007220BE">
      <w:pPr>
        <w:jc w:val="center"/>
        <w:rPr>
          <w:rFonts w:ascii="黑体" w:eastAsia="黑体" w:hAnsi="黑体"/>
          <w:sz w:val="28"/>
          <w:szCs w:val="28"/>
        </w:rPr>
      </w:pPr>
    </w:p>
    <w:p w:rsidR="007220BE" w:rsidRDefault="007220BE">
      <w:pPr>
        <w:jc w:val="center"/>
        <w:rPr>
          <w:rFonts w:ascii="黑体" w:eastAsia="黑体" w:hAnsi="黑体"/>
          <w:sz w:val="28"/>
          <w:szCs w:val="28"/>
        </w:rPr>
      </w:pPr>
    </w:p>
    <w:p w:rsidR="007220BE" w:rsidRDefault="007220BE">
      <w:pPr>
        <w:jc w:val="center"/>
        <w:rPr>
          <w:rFonts w:ascii="黑体" w:eastAsia="黑体" w:hAnsi="黑体"/>
          <w:sz w:val="28"/>
          <w:szCs w:val="28"/>
        </w:rPr>
      </w:pPr>
    </w:p>
    <w:p w:rsidR="007220BE" w:rsidRDefault="007220BE">
      <w:pPr>
        <w:jc w:val="center"/>
        <w:rPr>
          <w:rFonts w:ascii="黑体" w:eastAsia="黑体" w:hAnsi="黑体"/>
          <w:sz w:val="28"/>
          <w:szCs w:val="28"/>
        </w:rPr>
      </w:pPr>
    </w:p>
    <w:p w:rsidR="007220BE" w:rsidRDefault="004B3537">
      <w:pPr>
        <w:jc w:val="center"/>
        <w:rPr>
          <w:sz w:val="72"/>
          <w:szCs w:val="72"/>
        </w:rPr>
      </w:pPr>
      <w:r>
        <w:rPr>
          <w:rFonts w:hint="eastAsia"/>
          <w:sz w:val="72"/>
          <w:szCs w:val="72"/>
        </w:rPr>
        <w:t>第二部分</w:t>
      </w:r>
    </w:p>
    <w:p w:rsidR="007220BE" w:rsidRDefault="007220BE">
      <w:pPr>
        <w:jc w:val="center"/>
        <w:rPr>
          <w:sz w:val="72"/>
          <w:szCs w:val="72"/>
        </w:rPr>
      </w:pPr>
    </w:p>
    <w:p w:rsidR="007220BE" w:rsidRDefault="004B3537">
      <w:pPr>
        <w:jc w:val="center"/>
        <w:rPr>
          <w:sz w:val="72"/>
          <w:szCs w:val="72"/>
        </w:rPr>
      </w:pPr>
      <w:r>
        <w:rPr>
          <w:rFonts w:hint="eastAsia"/>
          <w:sz w:val="72"/>
          <w:szCs w:val="72"/>
        </w:rPr>
        <w:t>部门决算表（详见附表）</w:t>
      </w:r>
    </w:p>
    <w:p w:rsidR="007220BE" w:rsidRDefault="007220BE">
      <w:pPr>
        <w:jc w:val="center"/>
        <w:rPr>
          <w:sz w:val="72"/>
          <w:szCs w:val="72"/>
        </w:rPr>
      </w:pPr>
    </w:p>
    <w:p w:rsidR="007220BE" w:rsidRDefault="007220BE">
      <w:pPr>
        <w:pStyle w:val="Default"/>
        <w:rPr>
          <w:sz w:val="72"/>
          <w:szCs w:val="72"/>
        </w:rPr>
        <w:sectPr w:rsidR="007220BE">
          <w:pgSz w:w="16838" w:h="11906" w:orient="landscape"/>
          <w:pgMar w:top="720" w:right="720" w:bottom="720" w:left="720" w:header="851" w:footer="992" w:gutter="0"/>
          <w:cols w:space="425"/>
          <w:docGrid w:type="lines" w:linePitch="312"/>
        </w:sectPr>
      </w:pPr>
    </w:p>
    <w:p w:rsidR="007220BE" w:rsidRDefault="007220BE">
      <w:pPr>
        <w:pStyle w:val="Default"/>
        <w:rPr>
          <w:sz w:val="72"/>
          <w:szCs w:val="72"/>
        </w:rPr>
      </w:pPr>
    </w:p>
    <w:p w:rsidR="007220BE" w:rsidRDefault="007220BE">
      <w:pPr>
        <w:pStyle w:val="Default"/>
        <w:rPr>
          <w:sz w:val="72"/>
          <w:szCs w:val="72"/>
        </w:rPr>
      </w:pPr>
    </w:p>
    <w:p w:rsidR="007220BE" w:rsidRDefault="007220BE">
      <w:pPr>
        <w:pStyle w:val="Default"/>
        <w:rPr>
          <w:sz w:val="72"/>
          <w:szCs w:val="72"/>
        </w:rPr>
      </w:pPr>
    </w:p>
    <w:p w:rsidR="007220BE" w:rsidRDefault="007220BE">
      <w:pPr>
        <w:pStyle w:val="Default"/>
        <w:jc w:val="center"/>
        <w:rPr>
          <w:sz w:val="72"/>
          <w:szCs w:val="72"/>
        </w:rPr>
      </w:pPr>
    </w:p>
    <w:p w:rsidR="007220BE" w:rsidRDefault="007220BE">
      <w:pPr>
        <w:pStyle w:val="Default"/>
        <w:jc w:val="center"/>
        <w:rPr>
          <w:sz w:val="72"/>
          <w:szCs w:val="72"/>
        </w:rPr>
      </w:pPr>
    </w:p>
    <w:p w:rsidR="007220BE" w:rsidRDefault="004B3537">
      <w:pPr>
        <w:pStyle w:val="Default"/>
        <w:jc w:val="center"/>
        <w:rPr>
          <w:sz w:val="72"/>
          <w:szCs w:val="72"/>
        </w:rPr>
      </w:pPr>
      <w:r>
        <w:rPr>
          <w:rFonts w:hint="eastAsia"/>
          <w:sz w:val="72"/>
          <w:szCs w:val="72"/>
        </w:rPr>
        <w:t>第三部分</w:t>
      </w:r>
    </w:p>
    <w:p w:rsidR="007220BE" w:rsidRDefault="007220BE">
      <w:pPr>
        <w:pStyle w:val="Default"/>
        <w:jc w:val="center"/>
        <w:rPr>
          <w:sz w:val="70"/>
          <w:szCs w:val="70"/>
        </w:rPr>
      </w:pPr>
    </w:p>
    <w:p w:rsidR="007220BE" w:rsidRDefault="004B3537">
      <w:pPr>
        <w:pStyle w:val="Default"/>
        <w:jc w:val="center"/>
        <w:rPr>
          <w:sz w:val="70"/>
          <w:szCs w:val="70"/>
        </w:rPr>
      </w:pPr>
      <w:r>
        <w:rPr>
          <w:sz w:val="70"/>
          <w:szCs w:val="70"/>
        </w:rPr>
        <w:t>2019</w:t>
      </w:r>
      <w:r>
        <w:rPr>
          <w:rFonts w:hint="eastAsia"/>
          <w:sz w:val="70"/>
          <w:szCs w:val="70"/>
        </w:rPr>
        <w:t>年度部门决算情况说明</w:t>
      </w:r>
    </w:p>
    <w:p w:rsidR="007220BE" w:rsidRDefault="004B3537">
      <w:pPr>
        <w:widowControl/>
        <w:jc w:val="left"/>
        <w:rPr>
          <w:rFonts w:ascii="黑体" w:eastAsia="黑体" w:cs="黑体"/>
          <w:color w:val="000000"/>
          <w:kern w:val="0"/>
          <w:sz w:val="70"/>
          <w:szCs w:val="70"/>
        </w:rPr>
      </w:pPr>
      <w:r>
        <w:rPr>
          <w:sz w:val="70"/>
          <w:szCs w:val="70"/>
        </w:rPr>
        <w:br w:type="page"/>
      </w:r>
    </w:p>
    <w:p w:rsidR="007220BE" w:rsidRDefault="007220BE">
      <w:pPr>
        <w:pStyle w:val="Default"/>
        <w:rPr>
          <w:rFonts w:asciiTheme="minorEastAsia" w:eastAsiaTheme="minorEastAsia" w:hAnsiTheme="minorEastAsia"/>
          <w:sz w:val="32"/>
          <w:szCs w:val="32"/>
        </w:rPr>
      </w:pPr>
    </w:p>
    <w:p w:rsidR="007220BE" w:rsidRDefault="004B3537">
      <w:pPr>
        <w:pStyle w:val="Default"/>
        <w:rPr>
          <w:rFonts w:hAnsi="黑体"/>
          <w:b/>
          <w:sz w:val="32"/>
          <w:szCs w:val="32"/>
        </w:rPr>
      </w:pPr>
      <w:r>
        <w:rPr>
          <w:rFonts w:hAnsi="黑体" w:hint="eastAsia"/>
          <w:b/>
          <w:sz w:val="32"/>
          <w:szCs w:val="32"/>
        </w:rPr>
        <w:t>一、收入支出决算总体情况说明</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年度收总计431.02万元、支总计393.23万元。与2018年相比，减少124.72万元，减少3.17%，主要是因为公用经费及专项减少，支出主要是专项资金未使用完。</w:t>
      </w:r>
    </w:p>
    <w:p w:rsidR="007220BE" w:rsidRDefault="004B3537">
      <w:pPr>
        <w:pStyle w:val="Default"/>
        <w:rPr>
          <w:rFonts w:hAnsi="黑体"/>
          <w:b/>
          <w:sz w:val="32"/>
          <w:szCs w:val="32"/>
        </w:rPr>
      </w:pPr>
      <w:r>
        <w:rPr>
          <w:rFonts w:hAnsi="黑体" w:hint="eastAsia"/>
          <w:b/>
          <w:sz w:val="32"/>
          <w:szCs w:val="32"/>
        </w:rPr>
        <w:t>二、收入决算情况说明</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本年收入合计431.02万元，其中：财政拨款收入431.02万元，占100%；上级补助收入0万元，占0%；事业收入0万元，占0%；经营收入0万元，占0%；附属单位上缴收入0万元，占0%；其他收入0万元，占0%。</w:t>
      </w:r>
    </w:p>
    <w:p w:rsidR="007220BE" w:rsidRDefault="004B3537">
      <w:pPr>
        <w:pStyle w:val="Default"/>
        <w:rPr>
          <w:rFonts w:hAnsi="黑体"/>
          <w:b/>
          <w:sz w:val="32"/>
          <w:szCs w:val="32"/>
        </w:rPr>
      </w:pPr>
      <w:r>
        <w:rPr>
          <w:rFonts w:hAnsi="黑体" w:hint="eastAsia"/>
          <w:b/>
          <w:sz w:val="32"/>
          <w:szCs w:val="32"/>
        </w:rPr>
        <w:t>三、支出决算情况说明</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本年支出合计393.23万元，其中：基本支出393.23万元，占100%；项目支出0万元，占0%；上缴上级支出0万元，占0%；经营支出0万元，占0%；对附属单位补助支出0万元，占0%。</w:t>
      </w:r>
    </w:p>
    <w:p w:rsidR="007220BE" w:rsidRDefault="004B3537">
      <w:pPr>
        <w:pStyle w:val="Default"/>
        <w:rPr>
          <w:rFonts w:hAnsi="黑体"/>
          <w:b/>
          <w:sz w:val="32"/>
          <w:szCs w:val="32"/>
        </w:rPr>
      </w:pPr>
      <w:r>
        <w:rPr>
          <w:rFonts w:hAnsi="黑体" w:hint="eastAsia"/>
          <w:b/>
          <w:sz w:val="32"/>
          <w:szCs w:val="32"/>
        </w:rPr>
        <w:t>四、财政拨款收入支出决算总体情况说明</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2019年度财政拨款收总计431.02、支总计393.23万元，与2018年相比，减少124.72万元,减少3.17%，主要是因为公用经费及专项减少，支出主要是专项资金未使用完。</w:t>
      </w:r>
    </w:p>
    <w:p w:rsidR="007220BE" w:rsidRDefault="004B3537">
      <w:pPr>
        <w:pStyle w:val="Default"/>
        <w:rPr>
          <w:rFonts w:hAnsi="黑体"/>
          <w:b/>
          <w:sz w:val="32"/>
          <w:szCs w:val="32"/>
        </w:rPr>
      </w:pPr>
      <w:r>
        <w:rPr>
          <w:rFonts w:hAnsi="黑体" w:hint="eastAsia"/>
          <w:b/>
          <w:sz w:val="32"/>
          <w:szCs w:val="32"/>
        </w:rPr>
        <w:t>五、一般公共预算财政拨款支出决算情况说明</w:t>
      </w:r>
    </w:p>
    <w:p w:rsidR="007220BE" w:rsidRDefault="004B3537" w:rsidP="007220B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2019年度财政拨款支出393.23万元，占本年支出合计的96%，与2018年相比，财政拨款支出减少124.72万元，减少3.17%，主要是因为公用经费及专项减少，支出主要是专项资金未使用完。</w:t>
      </w:r>
    </w:p>
    <w:p w:rsidR="007220BE" w:rsidRDefault="004B3537" w:rsidP="007220B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2019年度财政拨款支出393.23万元，主要用于以下方面：一般公共服务</w:t>
      </w:r>
      <w:r>
        <w:rPr>
          <w:rFonts w:asciiTheme="minorEastAsia" w:eastAsiaTheme="minorEastAsia" w:hAnsiTheme="minorEastAsia" w:hint="eastAsia"/>
          <w:sz w:val="32"/>
          <w:szCs w:val="32"/>
        </w:rPr>
        <w:lastRenderedPageBreak/>
        <w:t>（类）支出393.23万元，占100%；教育（类）支出0万元，占0%;</w:t>
      </w:r>
    </w:p>
    <w:p w:rsidR="007220BE" w:rsidRDefault="004B3537" w:rsidP="007220BE">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7220BE" w:rsidRDefault="004B353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2019年度财政拨款支出年初预算数为</w:t>
      </w:r>
      <w:r>
        <w:rPr>
          <w:rFonts w:asciiTheme="minorEastAsia" w:eastAsiaTheme="minorEastAsia" w:hAnsiTheme="minorEastAsia" w:hint="eastAsia"/>
          <w:color w:val="000000" w:themeColor="text1"/>
          <w:sz w:val="32"/>
          <w:szCs w:val="32"/>
        </w:rPr>
        <w:t>353.4</w:t>
      </w:r>
      <w:r>
        <w:rPr>
          <w:rFonts w:asciiTheme="minorEastAsia" w:eastAsiaTheme="minorEastAsia" w:hAnsiTheme="minorEastAsia" w:hint="eastAsia"/>
          <w:sz w:val="32"/>
          <w:szCs w:val="32"/>
        </w:rPr>
        <w:t>万元，</w:t>
      </w:r>
      <w:r>
        <w:rPr>
          <w:rFonts w:asciiTheme="minorEastAsia" w:eastAsiaTheme="minorEastAsia" w:hAnsiTheme="minorEastAsia" w:hint="eastAsia"/>
          <w:color w:val="000000" w:themeColor="text1"/>
          <w:sz w:val="32"/>
          <w:szCs w:val="32"/>
        </w:rPr>
        <w:t>上年结余32.54万元，</w:t>
      </w:r>
      <w:r>
        <w:rPr>
          <w:rFonts w:asciiTheme="minorEastAsia" w:eastAsiaTheme="minorEastAsia" w:hAnsiTheme="minorEastAsia" w:hint="eastAsia"/>
          <w:sz w:val="32"/>
          <w:szCs w:val="32"/>
        </w:rPr>
        <w:t>支出决算数为</w:t>
      </w:r>
      <w:r>
        <w:rPr>
          <w:rFonts w:asciiTheme="minorEastAsia" w:eastAsiaTheme="minorEastAsia" w:hAnsiTheme="minorEastAsia" w:hint="eastAsia"/>
          <w:color w:val="000000" w:themeColor="text1"/>
          <w:sz w:val="32"/>
          <w:szCs w:val="32"/>
        </w:rPr>
        <w:t>393.23</w:t>
      </w:r>
      <w:r>
        <w:rPr>
          <w:rFonts w:asciiTheme="minorEastAsia" w:eastAsiaTheme="minorEastAsia" w:hAnsiTheme="minorEastAsia" w:hint="eastAsia"/>
          <w:sz w:val="32"/>
          <w:szCs w:val="32"/>
        </w:rPr>
        <w:t>万元，完成年初预算的100%。</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1、文化旅游体育与传媒（类）文化和旅游（款）艺术表演团体（项）。</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年初预算为221.27万元，支出决算为334.67万元，完成年初预算的151.24%。决算数大于年初预算数的主要原因是：本年度发生的人员经费和公用经费由所增加。</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2、文化旅游体育与传媒（类）文化和旅游（款）文化创作与保护（项）。</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年初预算为0万元，支出决算为8.13万元，决算数小于年初预算数的主要原因是：本年度发生经费，而年初预算未纳入。</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3、文化旅游体育与传媒（类）文化和旅游（款）其他文化和旅游（项）。</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年初预算为0万元，支出决算为49.82</w:t>
      </w:r>
      <w:r w:rsidR="00EB40A9">
        <w:rPr>
          <w:rFonts w:asciiTheme="minorEastAsia" w:eastAsiaTheme="minorEastAsia" w:hAnsiTheme="minorEastAsia" w:hint="eastAsia"/>
          <w:sz w:val="32"/>
          <w:szCs w:val="32"/>
        </w:rPr>
        <w:t>万元，决算数大</w:t>
      </w:r>
      <w:r>
        <w:rPr>
          <w:rFonts w:asciiTheme="minorEastAsia" w:eastAsiaTheme="minorEastAsia" w:hAnsiTheme="minorEastAsia" w:hint="eastAsia"/>
          <w:sz w:val="32"/>
          <w:szCs w:val="32"/>
        </w:rPr>
        <w:t>于年初预算数的主要原因是：本年度发生人员经费和公用经费，而年初预算未纳入。</w:t>
      </w:r>
    </w:p>
    <w:p w:rsidR="007220BE" w:rsidRDefault="004B3537">
      <w:pPr>
        <w:pStyle w:val="Default"/>
        <w:numPr>
          <w:ilvl w:val="0"/>
          <w:numId w:val="2"/>
        </w:numPr>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社会保障和就业（类）行政事业单位离退休（款）事业单位离退休（项）。</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年初预算为0.63万元，支出决算为0.62万元，完成年初预算的98%，决算数小于预算数主要原因是：压缩经费。</w:t>
      </w:r>
    </w:p>
    <w:p w:rsidR="007220BE" w:rsidRDefault="007220BE">
      <w:pPr>
        <w:pStyle w:val="Default"/>
        <w:ind w:firstLineChars="250" w:firstLine="800"/>
        <w:rPr>
          <w:rFonts w:asciiTheme="minorEastAsia" w:eastAsiaTheme="minorEastAsia" w:hAnsiTheme="minorEastAsia"/>
          <w:sz w:val="32"/>
          <w:szCs w:val="32"/>
        </w:rPr>
      </w:pPr>
    </w:p>
    <w:p w:rsidR="007220BE" w:rsidRDefault="004B3537">
      <w:pPr>
        <w:pStyle w:val="Default"/>
        <w:rPr>
          <w:rFonts w:hAnsi="黑体"/>
          <w:b/>
          <w:sz w:val="32"/>
          <w:szCs w:val="32"/>
        </w:rPr>
      </w:pPr>
      <w:r>
        <w:rPr>
          <w:rFonts w:hAnsi="黑体" w:hint="eastAsia"/>
          <w:b/>
          <w:sz w:val="32"/>
          <w:szCs w:val="32"/>
        </w:rPr>
        <w:t>六、一般公共预算财政拨款基本支出决算情况说明</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2019年度财政拨款基本支出393.23万元，其中：人员经费218.29万元，占基本支出的55.52%,主要包括基本工资、津贴补贴、奖金、工资福利支出、  伙食补助费、职工基本医疗保险缴费、其他社会保障缴费、住房公积金、其他工资福利支出、生活补助、奖励金、其他对个人和家庭的补助；公用经费</w:t>
      </w:r>
      <w:r>
        <w:rPr>
          <w:rFonts w:asciiTheme="minorEastAsia" w:eastAsiaTheme="minorEastAsia" w:hAnsiTheme="minorEastAsia" w:hint="eastAsia"/>
          <w:sz w:val="32"/>
          <w:szCs w:val="32"/>
        </w:rPr>
        <w:lastRenderedPageBreak/>
        <w:t>174.94万元，占基本支出的44.48%，主要包括办公费、水费、电费、维修（护）费、差旅费、 公务接待费、劳务费、 公务用车运行维护费、 专用材料费、商品和服务支出。</w:t>
      </w:r>
    </w:p>
    <w:p w:rsidR="007220BE" w:rsidRDefault="004B3537">
      <w:pPr>
        <w:pStyle w:val="Default"/>
        <w:rPr>
          <w:rFonts w:hAnsi="黑体"/>
          <w:b/>
          <w:sz w:val="32"/>
          <w:szCs w:val="32"/>
        </w:rPr>
      </w:pPr>
      <w:r>
        <w:rPr>
          <w:rFonts w:hAnsi="黑体" w:hint="eastAsia"/>
          <w:b/>
          <w:sz w:val="32"/>
          <w:szCs w:val="32"/>
        </w:rPr>
        <w:t>七、一般公共预算财政拨款三公经费支出决算情况说明</w:t>
      </w:r>
    </w:p>
    <w:p w:rsidR="007220BE" w:rsidRDefault="004B3537">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3115AB" w:rsidRPr="0011640D" w:rsidRDefault="004B3537" w:rsidP="0011640D">
      <w:pPr>
        <w:pStyle w:val="Default"/>
        <w:ind w:firstLineChars="250" w:firstLine="800"/>
        <w:rPr>
          <w:rFonts w:asciiTheme="minorEastAsia" w:eastAsiaTheme="minorEastAsia" w:hAnsiTheme="minorEastAsia"/>
          <w:sz w:val="32"/>
          <w:szCs w:val="32"/>
          <w:highlight w:val="red"/>
        </w:rPr>
      </w:pPr>
      <w:r>
        <w:rPr>
          <w:rFonts w:asciiTheme="minorEastAsia" w:eastAsiaTheme="minorEastAsia" w:hAnsiTheme="minorEastAsia" w:hint="eastAsia"/>
          <w:sz w:val="32"/>
          <w:szCs w:val="32"/>
        </w:rPr>
        <w:t>“三公”经费财政拨款支出预算</w:t>
      </w:r>
      <w:r w:rsidR="00F6003C">
        <w:rPr>
          <w:rFonts w:asciiTheme="minorEastAsia" w:eastAsiaTheme="minorEastAsia" w:hAnsiTheme="minorEastAsia" w:hint="eastAsia"/>
          <w:sz w:val="32"/>
          <w:szCs w:val="32"/>
        </w:rPr>
        <w:t>为10.25万元，支出决算为6.53万元，完成预算的62.07%万元，其中：</w:t>
      </w:r>
    </w:p>
    <w:p w:rsidR="003115AB" w:rsidRDefault="003115AB" w:rsidP="003115AB">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因公出国（境）费支出预算为0万元，支出决算为0万元，完成预算的0%，决算数等于年初预算数的主要原因是没有因公出国，与上年相比减少0万元，减少0%,主要原因是没有因公出国。</w:t>
      </w:r>
    </w:p>
    <w:p w:rsidR="007220BE" w:rsidRDefault="004B3537">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color w:val="000000" w:themeColor="text1"/>
          <w:sz w:val="32"/>
          <w:szCs w:val="32"/>
        </w:rPr>
        <w:t>6.4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color w:val="000000" w:themeColor="text1"/>
          <w:sz w:val="32"/>
          <w:szCs w:val="32"/>
        </w:rPr>
        <w:t>3.37</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color w:val="000000" w:themeColor="text1"/>
          <w:sz w:val="32"/>
          <w:szCs w:val="32"/>
        </w:rPr>
        <w:t>52.66</w:t>
      </w:r>
      <w:r>
        <w:rPr>
          <w:rFonts w:asciiTheme="minorEastAsia" w:eastAsiaTheme="minorEastAsia" w:hAnsiTheme="minorEastAsia" w:hint="eastAsia"/>
          <w:sz w:val="32"/>
          <w:szCs w:val="32"/>
        </w:rPr>
        <w:t>%，</w:t>
      </w:r>
      <w:r>
        <w:rPr>
          <w:rFonts w:asciiTheme="minorEastAsia" w:eastAsiaTheme="minorEastAsia" w:hAnsiTheme="minorEastAsia" w:hint="eastAsia"/>
          <w:color w:val="000000" w:themeColor="text1"/>
          <w:sz w:val="32"/>
          <w:szCs w:val="32"/>
        </w:rPr>
        <w:t>决算数小于年初预算数的主要原因是本单位例行节约，控制招待费。</w:t>
      </w:r>
      <w:r>
        <w:rPr>
          <w:rFonts w:asciiTheme="minorEastAsia" w:eastAsiaTheme="minorEastAsia" w:hAnsiTheme="minorEastAsia" w:hint="eastAsia"/>
          <w:sz w:val="32"/>
          <w:szCs w:val="32"/>
        </w:rPr>
        <w:t>与上年相比增加1.09万元，增长47.8%,增长的主要原因是剧目研讨和演出业务洽谈比上年增加。</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color w:val="000000" w:themeColor="text1"/>
          <w:sz w:val="32"/>
          <w:szCs w:val="32"/>
        </w:rPr>
        <w:t>3.85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color w:val="000000" w:themeColor="text1"/>
          <w:sz w:val="32"/>
          <w:szCs w:val="32"/>
        </w:rPr>
        <w:t>3.16</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color w:val="000000" w:themeColor="text1"/>
          <w:sz w:val="32"/>
          <w:szCs w:val="32"/>
        </w:rPr>
        <w:t>82.</w:t>
      </w:r>
      <w:r w:rsidR="00F6003C">
        <w:rPr>
          <w:rFonts w:asciiTheme="minorEastAsia" w:eastAsiaTheme="minorEastAsia" w:hAnsiTheme="minorEastAsia" w:hint="eastAsia"/>
          <w:sz w:val="32"/>
          <w:szCs w:val="32"/>
        </w:rPr>
        <w:t>08%，决算</w:t>
      </w:r>
      <w:r>
        <w:rPr>
          <w:rFonts w:asciiTheme="minorEastAsia" w:eastAsiaTheme="minorEastAsia" w:hAnsiTheme="minorEastAsia" w:hint="eastAsia"/>
          <w:sz w:val="32"/>
          <w:szCs w:val="32"/>
        </w:rPr>
        <w:t>数小于年初预算数的主要原因是本单位例行节约，控制开支费用，与上年相比减少2.08万元，减少39.69%,减少的主要原因是是本单位例行节约，控制开支费用。</w:t>
      </w:r>
    </w:p>
    <w:p w:rsidR="007220BE" w:rsidRDefault="004B3537">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7220BE" w:rsidRDefault="004B3537">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2019年度“三公”经费财政拨款支出决算中，公务接待费支出决算3.37万元，占51%,因公出国（境）费支出决算0万元，占0%,公务用车购置费及运行维护费支出决算3.16万元，占49%。其中：</w:t>
      </w:r>
    </w:p>
    <w:p w:rsidR="007220BE" w:rsidRDefault="004B3537">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1、因公出国（境）费支出决算为0万元，全年安排因公出国（境）团组0个，累计0人次,开支内容包括：</w:t>
      </w:r>
    </w:p>
    <w:p w:rsidR="009D4B39" w:rsidRDefault="004B3537" w:rsidP="009D4B39">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支出0</w:t>
      </w:r>
      <w:r w:rsidR="00F6003C">
        <w:rPr>
          <w:rFonts w:asciiTheme="minorEastAsia" w:eastAsiaTheme="minorEastAsia" w:hAnsiTheme="minorEastAsia" w:hint="eastAsia"/>
          <w:sz w:val="32"/>
          <w:szCs w:val="32"/>
        </w:rPr>
        <w:t>万元，</w:t>
      </w:r>
      <w:r w:rsidR="009D4B39">
        <w:rPr>
          <w:rFonts w:asciiTheme="minorEastAsia" w:eastAsiaTheme="minorEastAsia" w:hAnsiTheme="minorEastAsia" w:hint="eastAsia"/>
          <w:sz w:val="32"/>
          <w:szCs w:val="32"/>
        </w:rPr>
        <w:t>主要原因是没有因公出国。</w:t>
      </w:r>
    </w:p>
    <w:p w:rsidR="007220BE" w:rsidRDefault="004B3537" w:rsidP="009D4B39">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2、公</w:t>
      </w:r>
      <w:r w:rsidR="00F6003C">
        <w:rPr>
          <w:rFonts w:asciiTheme="minorEastAsia" w:eastAsiaTheme="minorEastAsia" w:hAnsiTheme="minorEastAsia" w:hint="eastAsia"/>
          <w:sz w:val="32"/>
          <w:szCs w:val="32"/>
        </w:rPr>
        <w:t>务接待费支出决算数为3.37万元，</w:t>
      </w:r>
      <w:r w:rsidR="003C3C93">
        <w:rPr>
          <w:rFonts w:asciiTheme="minorEastAsia" w:eastAsiaTheme="minorEastAsia" w:hAnsiTheme="minorEastAsia" w:hint="eastAsia"/>
          <w:sz w:val="32"/>
          <w:szCs w:val="32"/>
        </w:rPr>
        <w:t>全年共接待来访团组6个、来宾76人次，主要是剧目研讨和演出业务洽谈、演出排练发生的所有接待支出。</w:t>
      </w:r>
      <w:r>
        <w:rPr>
          <w:rFonts w:asciiTheme="minorEastAsia" w:eastAsiaTheme="minorEastAsia" w:hAnsiTheme="minorEastAsia" w:hint="eastAsia"/>
          <w:sz w:val="32"/>
          <w:szCs w:val="32"/>
        </w:rPr>
        <w:t>。</w:t>
      </w:r>
    </w:p>
    <w:p w:rsidR="007220BE" w:rsidRDefault="004B3537">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3、公务用车购置费及运行维护费支出决算为0万元，其中：公务用车购置费0万元，更新公务用车0辆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公务用车运行维护费3.16万元，主要是维修、保险、油费支出，截止2019年12月31日，我单位开支财政拨款的公务用车保有量为3辆。</w:t>
      </w:r>
    </w:p>
    <w:p w:rsidR="007220BE" w:rsidRDefault="004B3537">
      <w:pPr>
        <w:pStyle w:val="Default"/>
        <w:rPr>
          <w:rFonts w:hAnsi="黑体"/>
          <w:b/>
          <w:sz w:val="32"/>
          <w:szCs w:val="32"/>
        </w:rPr>
      </w:pPr>
      <w:r>
        <w:rPr>
          <w:rFonts w:hAnsi="黑体" w:hint="eastAsia"/>
          <w:b/>
          <w:sz w:val="32"/>
          <w:szCs w:val="32"/>
        </w:rPr>
        <w:t>八、政府性基金预算收入支出决算情况</w:t>
      </w:r>
    </w:p>
    <w:p w:rsidR="007220BE" w:rsidRDefault="004B3537">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2019年度政府性基金预算财政拨款收入0万元；年初结转和结余0万元；支出0万元，其中基本支出0万元，项目支出0万元；年末结转和结余0万元。本单位无政府性基金收支。</w:t>
      </w:r>
    </w:p>
    <w:p w:rsidR="007220BE" w:rsidRDefault="004B3537">
      <w:pPr>
        <w:pStyle w:val="Default"/>
        <w:rPr>
          <w:rFonts w:hAnsi="黑体"/>
          <w:b/>
          <w:sz w:val="32"/>
          <w:szCs w:val="32"/>
        </w:rPr>
      </w:pPr>
      <w:r>
        <w:rPr>
          <w:rFonts w:hAnsi="黑体" w:hint="eastAsia"/>
          <w:b/>
          <w:sz w:val="32"/>
          <w:szCs w:val="32"/>
        </w:rPr>
        <w:t>九、关于2019年度预算绩效情况说明</w:t>
      </w:r>
    </w:p>
    <w:p w:rsidR="007220BE" w:rsidRDefault="004B3537">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本部门预算绩效管理开展情况、绩效目标和绩效评价报告附后（</w:t>
      </w:r>
    </w:p>
    <w:p w:rsidR="007220BE" w:rsidRDefault="004B3537">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按照财政绩效部门要求已公开或其他有关部门要求需随同部门决算一同公开的绩效信息，作为附件公开）</w:t>
      </w:r>
    </w:p>
    <w:p w:rsidR="007220BE" w:rsidRDefault="004B3537">
      <w:pPr>
        <w:pStyle w:val="Default"/>
        <w:rPr>
          <w:rFonts w:hAnsi="黑体"/>
          <w:b/>
          <w:sz w:val="32"/>
          <w:szCs w:val="32"/>
        </w:rPr>
      </w:pPr>
      <w:r>
        <w:rPr>
          <w:rFonts w:hAnsi="黑体" w:hint="eastAsia"/>
          <w:b/>
          <w:sz w:val="32"/>
          <w:szCs w:val="32"/>
        </w:rPr>
        <w:t>十、其他重要事项情况说明</w:t>
      </w:r>
    </w:p>
    <w:p w:rsidR="007220BE" w:rsidRDefault="004B3537" w:rsidP="007220BE">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7220BE" w:rsidRDefault="004B3537">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 年度机关运行经费支</w:t>
      </w:r>
      <w:r w:rsidR="00F6003C">
        <w:rPr>
          <w:rFonts w:asciiTheme="minorEastAsia" w:hAnsiTheme="minorEastAsia" w:cs="黑体" w:hint="eastAsia"/>
          <w:color w:val="000000"/>
          <w:kern w:val="0"/>
          <w:sz w:val="32"/>
          <w:szCs w:val="32"/>
        </w:rPr>
        <w:t>出174.94万元，</w:t>
      </w:r>
      <w:r>
        <w:rPr>
          <w:rFonts w:asciiTheme="minorEastAsia" w:hAnsiTheme="minorEastAsia" w:cs="黑体" w:hint="eastAsia"/>
          <w:color w:val="000000"/>
          <w:kern w:val="0"/>
          <w:sz w:val="32"/>
          <w:szCs w:val="32"/>
        </w:rPr>
        <w:t>比年初预算数增加5.7万元，增加2.08%。主要原因是：电费、租赁增加，会注意严格控制机关运行经费。</w:t>
      </w:r>
    </w:p>
    <w:p w:rsidR="007220BE" w:rsidRDefault="004B3537" w:rsidP="007220BE">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7220BE" w:rsidRPr="004B3537" w:rsidRDefault="004B3537">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2019年本部门开支办公费0.46万元；水费1.13万元；电费7.17万元；差旅费9.08万元；维修（护）费7.2万元；租赁费2.8</w:t>
      </w:r>
      <w:r w:rsidR="007168F1">
        <w:rPr>
          <w:rFonts w:asciiTheme="minorEastAsia" w:hAnsiTheme="minorEastAsia" w:cs="黑体" w:hint="eastAsia"/>
          <w:color w:val="000000"/>
          <w:kern w:val="0"/>
          <w:sz w:val="32"/>
          <w:szCs w:val="32"/>
        </w:rPr>
        <w:t>万元</w:t>
      </w:r>
      <w:r w:rsidR="00FE632D">
        <w:rPr>
          <w:rFonts w:asciiTheme="minorEastAsia" w:hAnsiTheme="minorEastAsia" w:cs="黑体" w:hint="eastAsia"/>
          <w:color w:val="000000"/>
          <w:kern w:val="0"/>
          <w:sz w:val="32"/>
          <w:szCs w:val="32"/>
        </w:rPr>
        <w:t>。</w:t>
      </w:r>
    </w:p>
    <w:p w:rsidR="007220BE" w:rsidRDefault="004B3537" w:rsidP="007220BE">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lastRenderedPageBreak/>
        <w:t>（三）政府采购支出情况</w:t>
      </w:r>
    </w:p>
    <w:p w:rsidR="007220BE" w:rsidRDefault="004B3537">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本部门2019年度政府采购支出总额0万元，其中：政府采购货物支出0万元、政府采购工程支出0万元、政府采购服务支出0万元</w:t>
      </w:r>
      <w:bookmarkStart w:id="0" w:name="_GoBack"/>
      <w:r>
        <w:rPr>
          <w:rFonts w:asciiTheme="minorEastAsia" w:hAnsiTheme="minorEastAsia" w:cs="黑体" w:hint="eastAsia"/>
          <w:color w:val="000000"/>
          <w:kern w:val="0"/>
          <w:sz w:val="32"/>
          <w:szCs w:val="32"/>
        </w:rPr>
        <w:t>。授予中小企业合同金额0万元，占政府采购支出总额的0%，其中：授予小微企业合同金额0万元，占政府采购支出总额的0%。</w:t>
      </w:r>
    </w:p>
    <w:bookmarkEnd w:id="0"/>
    <w:p w:rsidR="007220BE" w:rsidRDefault="004B3537" w:rsidP="007220BE">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7220BE" w:rsidRDefault="004B3537">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2019年12月31日，本单位共有车辆3辆，其中，领导干部用车0辆、机要通信用车0辆、应急保障用车0辆、执法执勤用车0辆、特种专业技术用车0辆、其他用车3辆，其他用车主要是外出演出；单位价值50万元以上通用设备0台（套）；单位价值100万元以上专用设备0台（套）。</w:t>
      </w:r>
    </w:p>
    <w:p w:rsidR="007220BE" w:rsidRDefault="004B3537">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7220BE" w:rsidRDefault="007220BE">
      <w:pPr>
        <w:ind w:firstLineChars="200" w:firstLine="640"/>
        <w:rPr>
          <w:rFonts w:asciiTheme="minorEastAsia" w:hAnsiTheme="minorEastAsia" w:cs="黑体"/>
          <w:color w:val="000000"/>
          <w:kern w:val="0"/>
          <w:sz w:val="32"/>
          <w:szCs w:val="32"/>
        </w:rPr>
      </w:pPr>
    </w:p>
    <w:p w:rsidR="007220BE" w:rsidRDefault="007220BE">
      <w:pPr>
        <w:pStyle w:val="Default"/>
        <w:jc w:val="center"/>
        <w:rPr>
          <w:sz w:val="72"/>
          <w:szCs w:val="72"/>
        </w:rPr>
      </w:pPr>
    </w:p>
    <w:p w:rsidR="007220BE" w:rsidRDefault="007220BE">
      <w:pPr>
        <w:pStyle w:val="Default"/>
        <w:jc w:val="center"/>
        <w:rPr>
          <w:sz w:val="72"/>
          <w:szCs w:val="72"/>
        </w:rPr>
      </w:pPr>
    </w:p>
    <w:p w:rsidR="007220BE" w:rsidRDefault="007220BE">
      <w:pPr>
        <w:pStyle w:val="Default"/>
        <w:jc w:val="center"/>
        <w:rPr>
          <w:sz w:val="72"/>
          <w:szCs w:val="72"/>
        </w:rPr>
      </w:pPr>
    </w:p>
    <w:p w:rsidR="007220BE" w:rsidRDefault="007220BE">
      <w:pPr>
        <w:pStyle w:val="Default"/>
        <w:jc w:val="center"/>
        <w:rPr>
          <w:sz w:val="72"/>
          <w:szCs w:val="72"/>
        </w:rPr>
      </w:pPr>
    </w:p>
    <w:p w:rsidR="007220BE" w:rsidRDefault="007220BE">
      <w:pPr>
        <w:pStyle w:val="Default"/>
        <w:jc w:val="center"/>
        <w:rPr>
          <w:sz w:val="72"/>
          <w:szCs w:val="72"/>
        </w:rPr>
      </w:pPr>
    </w:p>
    <w:p w:rsidR="007220BE" w:rsidRDefault="007220BE">
      <w:pPr>
        <w:pStyle w:val="Default"/>
        <w:jc w:val="center"/>
        <w:rPr>
          <w:sz w:val="72"/>
          <w:szCs w:val="72"/>
        </w:rPr>
      </w:pPr>
    </w:p>
    <w:p w:rsidR="007220BE" w:rsidRDefault="004B3537">
      <w:pPr>
        <w:pStyle w:val="Default"/>
        <w:jc w:val="center"/>
        <w:rPr>
          <w:sz w:val="72"/>
          <w:szCs w:val="72"/>
        </w:rPr>
      </w:pPr>
      <w:r>
        <w:rPr>
          <w:rFonts w:hint="eastAsia"/>
          <w:sz w:val="72"/>
          <w:szCs w:val="72"/>
        </w:rPr>
        <w:t>第四部分</w:t>
      </w:r>
    </w:p>
    <w:p w:rsidR="007220BE" w:rsidRDefault="007220BE">
      <w:pPr>
        <w:jc w:val="center"/>
        <w:rPr>
          <w:rFonts w:ascii="黑体" w:eastAsia="黑体" w:cs="黑体"/>
          <w:color w:val="000000"/>
          <w:kern w:val="0"/>
          <w:sz w:val="70"/>
          <w:szCs w:val="70"/>
        </w:rPr>
      </w:pPr>
    </w:p>
    <w:p w:rsidR="007220BE" w:rsidRDefault="004B3537">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7220BE" w:rsidRDefault="004B3537">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220BE" w:rsidRDefault="007220BE">
      <w:pPr>
        <w:ind w:firstLineChars="200" w:firstLine="640"/>
        <w:jc w:val="left"/>
        <w:rPr>
          <w:rFonts w:asciiTheme="minorEastAsia" w:hAnsiTheme="minorEastAsia" w:cs="黑体"/>
          <w:color w:val="000000"/>
          <w:kern w:val="0"/>
          <w:sz w:val="32"/>
          <w:szCs w:val="32"/>
        </w:rPr>
      </w:pPr>
    </w:p>
    <w:p w:rsidR="007220BE" w:rsidRDefault="004B3537">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7220BE" w:rsidRDefault="004B3537">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7220BE" w:rsidRDefault="007220BE">
      <w:pPr>
        <w:widowControl/>
        <w:spacing w:line="600" w:lineRule="exact"/>
        <w:rPr>
          <w:rFonts w:ascii="Times New Roman" w:eastAsia="黑体" w:hAnsi="Times New Roman" w:cs="Times New Roman"/>
          <w:bCs/>
          <w:kern w:val="0"/>
          <w:sz w:val="32"/>
          <w:szCs w:val="32"/>
        </w:rPr>
      </w:pPr>
    </w:p>
    <w:p w:rsidR="007220BE" w:rsidRDefault="004B3537">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7220BE" w:rsidRDefault="007220BE">
      <w:pPr>
        <w:pStyle w:val="Default"/>
        <w:jc w:val="center"/>
        <w:rPr>
          <w:sz w:val="72"/>
          <w:szCs w:val="72"/>
        </w:rPr>
      </w:pPr>
    </w:p>
    <w:p w:rsidR="007220BE" w:rsidRDefault="007220BE">
      <w:pPr>
        <w:pStyle w:val="Default"/>
        <w:jc w:val="center"/>
        <w:rPr>
          <w:sz w:val="72"/>
          <w:szCs w:val="72"/>
        </w:rPr>
      </w:pPr>
    </w:p>
    <w:p w:rsidR="007220BE" w:rsidRDefault="007220BE">
      <w:pPr>
        <w:pStyle w:val="Default"/>
        <w:jc w:val="center"/>
        <w:rPr>
          <w:sz w:val="72"/>
          <w:szCs w:val="72"/>
        </w:rPr>
      </w:pPr>
    </w:p>
    <w:p w:rsidR="007220BE" w:rsidRDefault="007220BE">
      <w:pPr>
        <w:pStyle w:val="Default"/>
        <w:jc w:val="center"/>
        <w:rPr>
          <w:sz w:val="72"/>
          <w:szCs w:val="72"/>
        </w:rPr>
      </w:pPr>
    </w:p>
    <w:p w:rsidR="007220BE" w:rsidRDefault="007220BE">
      <w:pPr>
        <w:pStyle w:val="Default"/>
        <w:jc w:val="center"/>
        <w:rPr>
          <w:sz w:val="72"/>
          <w:szCs w:val="72"/>
        </w:rPr>
      </w:pPr>
    </w:p>
    <w:p w:rsidR="007220BE" w:rsidRDefault="007220BE">
      <w:pPr>
        <w:pStyle w:val="Default"/>
        <w:jc w:val="center"/>
        <w:rPr>
          <w:sz w:val="72"/>
          <w:szCs w:val="72"/>
        </w:rPr>
      </w:pPr>
    </w:p>
    <w:p w:rsidR="007220BE" w:rsidRDefault="004B3537">
      <w:pPr>
        <w:pStyle w:val="Default"/>
        <w:jc w:val="center"/>
        <w:rPr>
          <w:sz w:val="72"/>
          <w:szCs w:val="72"/>
        </w:rPr>
      </w:pPr>
      <w:r>
        <w:rPr>
          <w:rFonts w:hint="eastAsia"/>
          <w:sz w:val="72"/>
          <w:szCs w:val="72"/>
        </w:rPr>
        <w:t>第五部分</w:t>
      </w:r>
    </w:p>
    <w:p w:rsidR="007220BE" w:rsidRDefault="007220BE">
      <w:pPr>
        <w:jc w:val="center"/>
        <w:rPr>
          <w:rFonts w:ascii="黑体" w:eastAsia="黑体" w:cs="黑体"/>
          <w:color w:val="000000"/>
          <w:kern w:val="0"/>
          <w:sz w:val="70"/>
          <w:szCs w:val="70"/>
        </w:rPr>
      </w:pPr>
    </w:p>
    <w:p w:rsidR="007220BE" w:rsidRDefault="004B3537">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7220BE" w:rsidRDefault="007220BE">
      <w:pPr>
        <w:widowControl/>
        <w:jc w:val="left"/>
        <w:rPr>
          <w:rFonts w:asciiTheme="minorEastAsia" w:hAnsiTheme="minorEastAsia" w:cs="黑体"/>
          <w:color w:val="000000"/>
          <w:kern w:val="0"/>
          <w:sz w:val="32"/>
          <w:szCs w:val="32"/>
        </w:rPr>
      </w:pPr>
    </w:p>
    <w:p w:rsidR="007220BE" w:rsidRDefault="007220BE">
      <w:pPr>
        <w:widowControl/>
        <w:jc w:val="left"/>
        <w:rPr>
          <w:rFonts w:asciiTheme="minorEastAsia" w:hAnsiTheme="minorEastAsia" w:cs="黑体"/>
          <w:color w:val="000000"/>
          <w:kern w:val="0"/>
          <w:sz w:val="32"/>
          <w:szCs w:val="32"/>
        </w:rPr>
      </w:pPr>
    </w:p>
    <w:p w:rsidR="007220BE" w:rsidRDefault="007220BE">
      <w:pPr>
        <w:widowControl/>
        <w:jc w:val="left"/>
        <w:rPr>
          <w:rFonts w:asciiTheme="minorEastAsia" w:hAnsiTheme="minorEastAsia" w:cs="黑体"/>
          <w:color w:val="000000"/>
          <w:kern w:val="0"/>
          <w:sz w:val="32"/>
          <w:szCs w:val="32"/>
        </w:rPr>
      </w:pPr>
    </w:p>
    <w:p w:rsidR="007220BE" w:rsidRDefault="007220BE">
      <w:pPr>
        <w:widowControl/>
        <w:jc w:val="left"/>
        <w:rPr>
          <w:rFonts w:asciiTheme="minorEastAsia" w:hAnsiTheme="minorEastAsia" w:cs="黑体"/>
          <w:color w:val="000000"/>
          <w:kern w:val="0"/>
          <w:sz w:val="32"/>
          <w:szCs w:val="32"/>
        </w:rPr>
      </w:pPr>
    </w:p>
    <w:p w:rsidR="007220BE" w:rsidRDefault="007220BE">
      <w:pPr>
        <w:widowControl/>
        <w:jc w:val="left"/>
        <w:rPr>
          <w:rFonts w:asciiTheme="minorEastAsia" w:hAnsiTheme="minorEastAsia" w:cs="黑体"/>
          <w:color w:val="000000"/>
          <w:kern w:val="0"/>
          <w:sz w:val="32"/>
          <w:szCs w:val="32"/>
        </w:rPr>
      </w:pPr>
    </w:p>
    <w:p w:rsidR="007220BE" w:rsidRDefault="007220BE">
      <w:pPr>
        <w:widowControl/>
        <w:jc w:val="left"/>
        <w:rPr>
          <w:rFonts w:asciiTheme="minorEastAsia" w:hAnsiTheme="minorEastAsia" w:cs="黑体"/>
          <w:color w:val="000000"/>
          <w:kern w:val="0"/>
          <w:sz w:val="32"/>
          <w:szCs w:val="32"/>
        </w:rPr>
      </w:pPr>
    </w:p>
    <w:p w:rsidR="007220BE" w:rsidRDefault="007220BE">
      <w:pPr>
        <w:widowControl/>
        <w:jc w:val="left"/>
        <w:rPr>
          <w:rFonts w:asciiTheme="minorEastAsia" w:hAnsiTheme="minorEastAsia" w:cs="黑体"/>
          <w:color w:val="000000"/>
          <w:kern w:val="0"/>
          <w:sz w:val="32"/>
          <w:szCs w:val="32"/>
        </w:rPr>
      </w:pPr>
    </w:p>
    <w:p w:rsidR="007220BE" w:rsidRDefault="007220BE">
      <w:pPr>
        <w:widowControl/>
        <w:jc w:val="left"/>
        <w:rPr>
          <w:rFonts w:asciiTheme="minorEastAsia" w:hAnsiTheme="minorEastAsia" w:cs="黑体"/>
          <w:color w:val="000000"/>
          <w:kern w:val="0"/>
          <w:sz w:val="32"/>
          <w:szCs w:val="32"/>
        </w:rPr>
      </w:pPr>
    </w:p>
    <w:p w:rsidR="007220BE" w:rsidRDefault="007220BE">
      <w:pPr>
        <w:widowControl/>
        <w:jc w:val="left"/>
        <w:rPr>
          <w:rFonts w:asciiTheme="minorEastAsia" w:hAnsiTheme="minorEastAsia" w:cs="黑体"/>
          <w:color w:val="000000"/>
          <w:kern w:val="0"/>
          <w:sz w:val="32"/>
          <w:szCs w:val="32"/>
        </w:rPr>
      </w:pPr>
    </w:p>
    <w:p w:rsidR="007220BE" w:rsidRDefault="007220BE">
      <w:pPr>
        <w:widowControl/>
        <w:jc w:val="left"/>
        <w:rPr>
          <w:rFonts w:asciiTheme="minorEastAsia" w:hAnsiTheme="minorEastAsia" w:cs="黑体"/>
          <w:color w:val="000000"/>
          <w:kern w:val="0"/>
          <w:sz w:val="32"/>
          <w:szCs w:val="32"/>
        </w:rPr>
      </w:pPr>
    </w:p>
    <w:p w:rsidR="007220BE" w:rsidRDefault="007220BE">
      <w:pPr>
        <w:widowControl/>
        <w:jc w:val="left"/>
        <w:rPr>
          <w:rFonts w:asciiTheme="minorEastAsia" w:hAnsiTheme="minorEastAsia" w:cs="黑体"/>
          <w:color w:val="000000"/>
          <w:kern w:val="0"/>
          <w:sz w:val="32"/>
          <w:szCs w:val="32"/>
        </w:rPr>
      </w:pPr>
    </w:p>
    <w:p w:rsidR="007220BE" w:rsidRDefault="004B3537" w:rsidP="007220BE">
      <w:pPr>
        <w:ind w:firstLineChars="200" w:firstLine="883"/>
        <w:jc w:val="center"/>
        <w:rPr>
          <w:rFonts w:ascii="黑体" w:eastAsia="黑体" w:hAnsi="黑体" w:cs="黑体"/>
          <w:b/>
          <w:color w:val="000000"/>
          <w:kern w:val="0"/>
          <w:sz w:val="44"/>
          <w:szCs w:val="44"/>
        </w:rPr>
      </w:pPr>
      <w:r>
        <w:rPr>
          <w:rFonts w:ascii="黑体" w:eastAsia="黑体" w:hAnsi="黑体" w:cs="黑体" w:hint="eastAsia"/>
          <w:b/>
          <w:color w:val="000000"/>
          <w:kern w:val="0"/>
          <w:sz w:val="44"/>
          <w:szCs w:val="44"/>
        </w:rPr>
        <w:lastRenderedPageBreak/>
        <w:t>2019年度部门整体支出绩效评价报告</w:t>
      </w:r>
    </w:p>
    <w:p w:rsidR="007220BE" w:rsidRDefault="007220BE">
      <w:pPr>
        <w:spacing w:line="600" w:lineRule="exact"/>
        <w:jc w:val="left"/>
        <w:rPr>
          <w:rFonts w:ascii="黑体" w:eastAsia="黑体" w:hAnsi="黑体" w:cs="黑体"/>
          <w:sz w:val="32"/>
          <w:szCs w:val="32"/>
        </w:rPr>
      </w:pPr>
    </w:p>
    <w:p w:rsidR="007220BE" w:rsidRDefault="004B3537">
      <w:pPr>
        <w:spacing w:line="600" w:lineRule="exact"/>
        <w:jc w:val="left"/>
        <w:rPr>
          <w:rFonts w:ascii="黑体" w:eastAsia="黑体" w:hAnsi="黑体" w:cs="黑体"/>
          <w:sz w:val="32"/>
          <w:szCs w:val="32"/>
        </w:rPr>
      </w:pPr>
      <w:r>
        <w:rPr>
          <w:rFonts w:ascii="黑体" w:eastAsia="黑体" w:hAnsi="黑体" w:cs="黑体" w:hint="eastAsia"/>
          <w:sz w:val="32"/>
          <w:szCs w:val="32"/>
        </w:rPr>
        <w:t xml:space="preserve"> 一、部门、单位基本情况</w:t>
      </w:r>
    </w:p>
    <w:p w:rsidR="007220BE" w:rsidRDefault="004B3537">
      <w:pPr>
        <w:spacing w:line="600" w:lineRule="exact"/>
        <w:ind w:firstLineChars="200" w:firstLine="640"/>
        <w:rPr>
          <w:rFonts w:ascii="仿宋_GB2312" w:eastAsia="仿宋_GB2312"/>
          <w:sz w:val="32"/>
          <w:szCs w:val="32"/>
        </w:rPr>
      </w:pPr>
      <w:r>
        <w:rPr>
          <w:rFonts w:ascii="仿宋_GB2312" w:eastAsia="仿宋_GB2312" w:hint="eastAsia"/>
          <w:sz w:val="32"/>
          <w:szCs w:val="32"/>
        </w:rPr>
        <w:t>湖南省怀化市鹤城区阳戏保护传承中心，前身最早成立于1958年11月，名为湖南省黔阳专区东风剧团，1997年，怀化撤地改市，原县级怀化市改为鹤城区，剧团更名鹤城区阳戏剧团。2009年12月，由鹤城区阳戏剧团更名挂牌为怀化市阳戏剧团、怀化市歌舞团，2012年经全国文化体制改革后，成立怀化市鹤城区阳戏保护传承中心和怀化市楚丰演艺有限责任公司，两套人马两块牌子。院团管理模式为事业单位管理模式。单位共有编制42人，副高级演员2人，中级职称15人，其中全额编14人，差额编16人，全额编制空1人，差额编制空编11人，外聘人员8人。</w:t>
      </w:r>
    </w:p>
    <w:p w:rsidR="007220BE" w:rsidRDefault="004B3537">
      <w:pPr>
        <w:pStyle w:val="a6"/>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7220BE" w:rsidRDefault="004B3537">
      <w:pPr>
        <w:pStyle w:val="a6"/>
        <w:widowControl/>
        <w:spacing w:line="600" w:lineRule="exact"/>
        <w:ind w:firstLineChars="100" w:firstLine="32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7220BE" w:rsidRDefault="004B3537">
      <w:pPr>
        <w:spacing w:line="560" w:lineRule="exact"/>
        <w:ind w:firstLineChars="200" w:firstLine="640"/>
        <w:rPr>
          <w:rFonts w:ascii="仿宋_GB2312" w:eastAsia="仿宋_GB2312"/>
          <w:sz w:val="32"/>
          <w:szCs w:val="32"/>
        </w:rPr>
      </w:pPr>
      <w:r>
        <w:rPr>
          <w:rFonts w:ascii="仿宋_GB2312" w:eastAsia="仿宋_GB2312" w:hint="eastAsia"/>
          <w:sz w:val="32"/>
          <w:szCs w:val="32"/>
        </w:rPr>
        <w:t>2019年支出数为393.23万元，是指为保障单位机构正常运转、完成日常工作任务而发生的各项支出，包括用于基本工资、津贴补贴等人员经费以及办公费、印刷费、水电费、物业管理费等日常公用经费。</w:t>
      </w:r>
    </w:p>
    <w:p w:rsidR="007220BE" w:rsidRDefault="004B3537">
      <w:pPr>
        <w:pStyle w:val="a6"/>
        <w:widowControl/>
        <w:spacing w:line="600" w:lineRule="exact"/>
        <w:ind w:firstLineChars="100" w:firstLine="32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7220BE" w:rsidRDefault="004B3537">
      <w:pPr>
        <w:pStyle w:val="a6"/>
        <w:widowControl/>
        <w:spacing w:line="600" w:lineRule="exact"/>
        <w:ind w:firstLine="640"/>
        <w:rPr>
          <w:rFonts w:ascii="Times New Roman" w:eastAsia="黑体" w:hAnsi="Times New Roman"/>
          <w:sz w:val="32"/>
          <w:szCs w:val="32"/>
        </w:rPr>
      </w:pPr>
      <w:r>
        <w:rPr>
          <w:rFonts w:ascii="仿宋_GB2312" w:eastAsia="仿宋_GB2312" w:hint="eastAsia"/>
          <w:sz w:val="32"/>
          <w:szCs w:val="32"/>
        </w:rPr>
        <w:t>2019年支出数为25万元，单位为完成情系三农专项演出任务经费。</w:t>
      </w:r>
    </w:p>
    <w:p w:rsidR="007220BE" w:rsidRDefault="004B3537">
      <w:pPr>
        <w:pStyle w:val="a6"/>
        <w:widowControl/>
        <w:spacing w:line="600" w:lineRule="exact"/>
        <w:ind w:firstLine="640"/>
        <w:jc w:val="left"/>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p>
    <w:p w:rsidR="007220BE" w:rsidRDefault="004B3537">
      <w:pPr>
        <w:pStyle w:val="a6"/>
        <w:widowControl/>
        <w:spacing w:line="600" w:lineRule="exact"/>
        <w:ind w:left="640" w:firstLineChars="0" w:firstLine="0"/>
        <w:jc w:val="left"/>
        <w:rPr>
          <w:rFonts w:ascii="仿宋" w:eastAsia="仿宋" w:hAnsi="仿宋" w:cs="仿宋"/>
          <w:sz w:val="32"/>
          <w:szCs w:val="32"/>
        </w:rPr>
      </w:pPr>
      <w:r>
        <w:rPr>
          <w:rFonts w:ascii="仿宋" w:eastAsia="仿宋" w:hAnsi="仿宋" w:cs="仿宋" w:hint="eastAsia"/>
          <w:sz w:val="32"/>
          <w:szCs w:val="32"/>
        </w:rPr>
        <w:t>无</w:t>
      </w:r>
    </w:p>
    <w:p w:rsidR="007220BE" w:rsidRDefault="004B3537">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p>
    <w:p w:rsidR="007220BE" w:rsidRDefault="004B3537">
      <w:pPr>
        <w:widowControl/>
        <w:spacing w:line="500" w:lineRule="auto"/>
        <w:ind w:firstLineChars="200" w:firstLine="640"/>
        <w:jc w:val="left"/>
        <w:rPr>
          <w:rFonts w:eastAsia="仿宋_GB2312"/>
          <w:kern w:val="0"/>
          <w:sz w:val="32"/>
          <w:szCs w:val="32"/>
        </w:rPr>
      </w:pPr>
      <w:r>
        <w:rPr>
          <w:rFonts w:eastAsia="仿宋_GB2312" w:hint="eastAsia"/>
          <w:sz w:val="32"/>
          <w:szCs w:val="32"/>
        </w:rPr>
        <w:t>截至</w:t>
      </w:r>
      <w:r>
        <w:rPr>
          <w:rFonts w:eastAsia="仿宋_GB2312" w:hint="eastAsia"/>
          <w:sz w:val="32"/>
          <w:szCs w:val="32"/>
        </w:rPr>
        <w:t>2019</w:t>
      </w:r>
      <w:r>
        <w:rPr>
          <w:rFonts w:eastAsia="仿宋_GB2312" w:hint="eastAsia"/>
          <w:sz w:val="32"/>
          <w:szCs w:val="32"/>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31</w:t>
      </w:r>
      <w:r>
        <w:rPr>
          <w:rFonts w:eastAsia="仿宋_GB2312" w:hint="eastAsia"/>
          <w:sz w:val="32"/>
          <w:szCs w:val="32"/>
        </w:rPr>
        <w:t>日，本部门共有车辆</w:t>
      </w:r>
      <w:r>
        <w:rPr>
          <w:rFonts w:eastAsia="仿宋_GB2312" w:hint="eastAsia"/>
          <w:sz w:val="32"/>
          <w:szCs w:val="32"/>
        </w:rPr>
        <w:t>3</w:t>
      </w:r>
      <w:r>
        <w:rPr>
          <w:rFonts w:eastAsia="仿宋_GB2312" w:hint="eastAsia"/>
          <w:sz w:val="32"/>
          <w:szCs w:val="32"/>
        </w:rPr>
        <w:t>辆，其中，一般公务用车</w:t>
      </w:r>
      <w:r>
        <w:rPr>
          <w:rFonts w:eastAsia="仿宋_GB2312" w:hint="eastAsia"/>
          <w:sz w:val="32"/>
          <w:szCs w:val="32"/>
        </w:rPr>
        <w:t>0</w:t>
      </w:r>
      <w:r>
        <w:rPr>
          <w:rFonts w:eastAsia="仿宋_GB2312" w:hint="eastAsia"/>
          <w:sz w:val="32"/>
          <w:szCs w:val="32"/>
        </w:rPr>
        <w:t>辆、一般执法执勤用车</w:t>
      </w:r>
      <w:r>
        <w:rPr>
          <w:rFonts w:eastAsia="仿宋_GB2312" w:hint="eastAsia"/>
          <w:sz w:val="32"/>
          <w:szCs w:val="32"/>
        </w:rPr>
        <w:t>0</w:t>
      </w:r>
      <w:r>
        <w:rPr>
          <w:rFonts w:eastAsia="仿宋_GB2312" w:hint="eastAsia"/>
          <w:sz w:val="32"/>
          <w:szCs w:val="32"/>
        </w:rPr>
        <w:t>辆、</w:t>
      </w:r>
      <w:r>
        <w:rPr>
          <w:rFonts w:eastAsia="仿宋_GB2312"/>
          <w:kern w:val="0"/>
          <w:sz w:val="32"/>
          <w:szCs w:val="32"/>
        </w:rPr>
        <w:t>特种专业技术用车</w:t>
      </w:r>
      <w:r>
        <w:rPr>
          <w:rFonts w:eastAsia="仿宋_GB2312" w:hint="eastAsia"/>
          <w:sz w:val="32"/>
          <w:szCs w:val="32"/>
        </w:rPr>
        <w:t>0</w:t>
      </w:r>
      <w:r>
        <w:rPr>
          <w:rFonts w:eastAsia="仿宋_GB2312"/>
          <w:kern w:val="0"/>
          <w:sz w:val="32"/>
          <w:szCs w:val="32"/>
        </w:rPr>
        <w:t>辆、其他用车</w:t>
      </w:r>
      <w:r>
        <w:rPr>
          <w:rFonts w:eastAsia="仿宋_GB2312" w:hint="eastAsia"/>
          <w:sz w:val="32"/>
          <w:szCs w:val="32"/>
        </w:rPr>
        <w:t>3</w:t>
      </w:r>
      <w:r>
        <w:rPr>
          <w:rFonts w:eastAsia="仿宋_GB2312"/>
          <w:kern w:val="0"/>
          <w:sz w:val="32"/>
          <w:szCs w:val="32"/>
        </w:rPr>
        <w:t>辆</w:t>
      </w:r>
      <w:r>
        <w:rPr>
          <w:rFonts w:eastAsia="仿宋_GB2312" w:hint="eastAsia"/>
          <w:sz w:val="32"/>
          <w:szCs w:val="32"/>
        </w:rPr>
        <w:t>。无</w:t>
      </w:r>
      <w:r>
        <w:rPr>
          <w:rFonts w:eastAsia="仿宋_GB2312"/>
          <w:kern w:val="0"/>
          <w:sz w:val="32"/>
          <w:szCs w:val="32"/>
        </w:rPr>
        <w:t>单</w:t>
      </w:r>
      <w:r>
        <w:rPr>
          <w:rFonts w:eastAsia="仿宋_GB2312" w:hint="eastAsia"/>
          <w:kern w:val="0"/>
          <w:sz w:val="32"/>
          <w:szCs w:val="32"/>
        </w:rPr>
        <w:t>价</w:t>
      </w:r>
      <w:r>
        <w:rPr>
          <w:rFonts w:eastAsia="仿宋_GB2312"/>
          <w:kern w:val="0"/>
          <w:sz w:val="32"/>
          <w:szCs w:val="32"/>
        </w:rPr>
        <w:t>价值</w:t>
      </w:r>
      <w:r>
        <w:rPr>
          <w:rFonts w:eastAsia="仿宋_GB2312"/>
          <w:kern w:val="0"/>
          <w:sz w:val="32"/>
          <w:szCs w:val="32"/>
        </w:rPr>
        <w:t xml:space="preserve">50 </w:t>
      </w:r>
      <w:r>
        <w:rPr>
          <w:rFonts w:eastAsia="仿宋_GB2312"/>
          <w:kern w:val="0"/>
          <w:sz w:val="32"/>
          <w:szCs w:val="32"/>
        </w:rPr>
        <w:t>万元以上</w:t>
      </w:r>
      <w:r>
        <w:rPr>
          <w:rFonts w:eastAsia="仿宋_GB2312" w:hint="eastAsia"/>
          <w:kern w:val="0"/>
          <w:sz w:val="32"/>
          <w:szCs w:val="32"/>
        </w:rPr>
        <w:t>的</w:t>
      </w:r>
      <w:r>
        <w:rPr>
          <w:rFonts w:eastAsia="仿宋_GB2312"/>
          <w:kern w:val="0"/>
          <w:sz w:val="32"/>
          <w:szCs w:val="32"/>
        </w:rPr>
        <w:t>通用设备，</w:t>
      </w:r>
      <w:r>
        <w:rPr>
          <w:rFonts w:eastAsia="仿宋_GB2312" w:hint="eastAsia"/>
          <w:kern w:val="0"/>
          <w:sz w:val="32"/>
          <w:szCs w:val="32"/>
        </w:rPr>
        <w:t>无</w:t>
      </w:r>
      <w:r>
        <w:rPr>
          <w:rFonts w:eastAsia="仿宋_GB2312"/>
          <w:kern w:val="0"/>
          <w:sz w:val="32"/>
          <w:szCs w:val="32"/>
        </w:rPr>
        <w:t>单价</w:t>
      </w:r>
      <w:r>
        <w:rPr>
          <w:rFonts w:eastAsia="仿宋_GB2312"/>
          <w:kern w:val="0"/>
          <w:sz w:val="32"/>
          <w:szCs w:val="32"/>
        </w:rPr>
        <w:t xml:space="preserve">100 </w:t>
      </w:r>
      <w:r>
        <w:rPr>
          <w:rFonts w:eastAsia="仿宋_GB2312"/>
          <w:kern w:val="0"/>
          <w:sz w:val="32"/>
          <w:szCs w:val="32"/>
        </w:rPr>
        <w:t>万元以上</w:t>
      </w:r>
      <w:r>
        <w:rPr>
          <w:rFonts w:eastAsia="仿宋_GB2312" w:hint="eastAsia"/>
          <w:kern w:val="0"/>
          <w:sz w:val="32"/>
          <w:szCs w:val="32"/>
        </w:rPr>
        <w:t>的</w:t>
      </w:r>
      <w:r>
        <w:rPr>
          <w:rFonts w:eastAsia="仿宋_GB2312"/>
          <w:kern w:val="0"/>
          <w:sz w:val="32"/>
          <w:szCs w:val="32"/>
        </w:rPr>
        <w:t>专用设备。</w:t>
      </w:r>
    </w:p>
    <w:p w:rsidR="007220BE" w:rsidRDefault="004B3537">
      <w:pPr>
        <w:pStyle w:val="a6"/>
        <w:widowControl/>
        <w:spacing w:line="600" w:lineRule="exact"/>
        <w:ind w:firstLine="640"/>
        <w:jc w:val="left"/>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p>
    <w:p w:rsidR="007220BE" w:rsidRDefault="004B3537">
      <w:pPr>
        <w:pStyle w:val="a6"/>
        <w:widowControl/>
        <w:spacing w:line="600" w:lineRule="exact"/>
        <w:ind w:firstLineChars="300" w:firstLine="840"/>
        <w:jc w:val="left"/>
        <w:rPr>
          <w:rFonts w:ascii="宋体" w:hAnsi="宋体" w:cs="宋体"/>
          <w:sz w:val="28"/>
          <w:szCs w:val="28"/>
        </w:rPr>
      </w:pPr>
      <w:r>
        <w:rPr>
          <w:rFonts w:ascii="宋体" w:eastAsia="宋体" w:hAnsi="宋体" w:cs="宋体" w:hint="eastAsia"/>
          <w:sz w:val="28"/>
          <w:szCs w:val="28"/>
        </w:rPr>
        <w:lastRenderedPageBreak/>
        <w:t>按财政预算下达指标数支出</w:t>
      </w:r>
      <w:r>
        <w:rPr>
          <w:rFonts w:ascii="宋体" w:hAnsi="宋体" w:cs="宋体" w:hint="eastAsia"/>
          <w:sz w:val="28"/>
          <w:szCs w:val="28"/>
        </w:rPr>
        <w:t>。</w:t>
      </w:r>
    </w:p>
    <w:p w:rsidR="007220BE" w:rsidRDefault="004B3537">
      <w:pPr>
        <w:pStyle w:val="a6"/>
        <w:widowControl/>
        <w:spacing w:line="600" w:lineRule="exact"/>
        <w:ind w:firstLine="640"/>
        <w:jc w:val="left"/>
        <w:rPr>
          <w:rFonts w:ascii="宋体" w:hAnsi="宋体" w:cs="宋体"/>
          <w:sz w:val="28"/>
          <w:szCs w:val="28"/>
        </w:rPr>
      </w:pPr>
      <w:r>
        <w:rPr>
          <w:rFonts w:eastAsia="黑体"/>
          <w:sz w:val="32"/>
          <w:szCs w:val="32"/>
        </w:rPr>
        <w:t>六、部门整体支出绩效情况</w:t>
      </w:r>
    </w:p>
    <w:p w:rsidR="007220BE" w:rsidRDefault="004B3537">
      <w:pPr>
        <w:pStyle w:val="a6"/>
        <w:widowControl/>
        <w:spacing w:line="600" w:lineRule="exact"/>
        <w:ind w:firstLineChars="300" w:firstLine="960"/>
        <w:jc w:val="left"/>
        <w:rPr>
          <w:rFonts w:ascii="宋体" w:hAnsi="宋体" w:cs="宋体"/>
          <w:sz w:val="28"/>
          <w:szCs w:val="28"/>
        </w:rPr>
      </w:pPr>
      <w:r>
        <w:rPr>
          <w:rFonts w:ascii="仿宋" w:eastAsia="仿宋" w:hAnsi="仿宋" w:cs="仿宋" w:hint="eastAsia"/>
          <w:sz w:val="32"/>
          <w:szCs w:val="32"/>
        </w:rPr>
        <w:t>2019年度，我中心结合工作实际，认真贯彻落实党的十九大精神，在区文体新局的正确领导下，大力弘扬优秀传统文化，加快发展文化产业，繁荣群众文艺精品创作，加强文化人才队伍建设，极大丰富群众文化</w:t>
      </w:r>
      <w:hyperlink r:id="rId9" w:tgtFrame="_blank" w:history="1">
        <w:r>
          <w:rPr>
            <w:rFonts w:ascii="仿宋" w:eastAsia="仿宋" w:hAnsi="仿宋" w:cs="仿宋" w:hint="eastAsia"/>
            <w:sz w:val="32"/>
            <w:szCs w:val="32"/>
          </w:rPr>
          <w:t>生活</w:t>
        </w:r>
      </w:hyperlink>
      <w:r>
        <w:rPr>
          <w:rFonts w:ascii="仿宋" w:eastAsia="仿宋" w:hAnsi="仿宋" w:cs="仿宋" w:hint="eastAsia"/>
          <w:sz w:val="32"/>
          <w:szCs w:val="32"/>
        </w:rPr>
        <w:t>，努力推进文化事业和文化产业发展。各项工作开展得有声有色，并取得了一定的成绩。</w:t>
      </w:r>
    </w:p>
    <w:p w:rsidR="007220BE" w:rsidRDefault="007220BE">
      <w:pPr>
        <w:widowControl/>
        <w:jc w:val="left"/>
        <w:rPr>
          <w:rFonts w:asciiTheme="minorEastAsia" w:hAnsiTheme="minorEastAsia" w:cs="黑体"/>
          <w:color w:val="000000"/>
          <w:kern w:val="0"/>
          <w:sz w:val="32"/>
          <w:szCs w:val="32"/>
        </w:rPr>
      </w:pPr>
    </w:p>
    <w:sectPr w:rsidR="007220BE" w:rsidSect="007220BE">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E84" w:rsidRDefault="00106E84" w:rsidP="003115AB">
      <w:r>
        <w:separator/>
      </w:r>
    </w:p>
  </w:endnote>
  <w:endnote w:type="continuationSeparator" w:id="1">
    <w:p w:rsidR="00106E84" w:rsidRDefault="00106E84" w:rsidP="003115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E84" w:rsidRDefault="00106E84" w:rsidP="003115AB">
      <w:r>
        <w:separator/>
      </w:r>
    </w:p>
  </w:footnote>
  <w:footnote w:type="continuationSeparator" w:id="1">
    <w:p w:rsidR="00106E84" w:rsidRDefault="00106E84" w:rsidP="003115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883BACE"/>
    <w:multiLevelType w:val="singleLevel"/>
    <w:tmpl w:val="D883BACE"/>
    <w:lvl w:ilvl="0">
      <w:start w:val="4"/>
      <w:numFmt w:val="decimal"/>
      <w:suff w:val="nothing"/>
      <w:lvlText w:val="%1、"/>
      <w:lvlJc w:val="left"/>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A3F69"/>
    <w:rsid w:val="00106E84"/>
    <w:rsid w:val="0011640D"/>
    <w:rsid w:val="00125944"/>
    <w:rsid w:val="00152C6D"/>
    <w:rsid w:val="00162D39"/>
    <w:rsid w:val="001735E0"/>
    <w:rsid w:val="001A67DB"/>
    <w:rsid w:val="001D51E5"/>
    <w:rsid w:val="001E0CD3"/>
    <w:rsid w:val="001F0C3B"/>
    <w:rsid w:val="00214427"/>
    <w:rsid w:val="00265724"/>
    <w:rsid w:val="0027426B"/>
    <w:rsid w:val="003115AB"/>
    <w:rsid w:val="003479BD"/>
    <w:rsid w:val="003768D5"/>
    <w:rsid w:val="003A75B2"/>
    <w:rsid w:val="003C3C93"/>
    <w:rsid w:val="004506F9"/>
    <w:rsid w:val="004717A2"/>
    <w:rsid w:val="00491741"/>
    <w:rsid w:val="004B3537"/>
    <w:rsid w:val="00500E5F"/>
    <w:rsid w:val="005122EF"/>
    <w:rsid w:val="00517C33"/>
    <w:rsid w:val="00523644"/>
    <w:rsid w:val="0054069E"/>
    <w:rsid w:val="005767CC"/>
    <w:rsid w:val="00590D9F"/>
    <w:rsid w:val="00595D26"/>
    <w:rsid w:val="005A74E6"/>
    <w:rsid w:val="005D4D55"/>
    <w:rsid w:val="005E2CFB"/>
    <w:rsid w:val="00622C31"/>
    <w:rsid w:val="0062378F"/>
    <w:rsid w:val="00632B10"/>
    <w:rsid w:val="00651EEC"/>
    <w:rsid w:val="00652413"/>
    <w:rsid w:val="006A351B"/>
    <w:rsid w:val="006B0422"/>
    <w:rsid w:val="006C1B53"/>
    <w:rsid w:val="006D7730"/>
    <w:rsid w:val="006E5284"/>
    <w:rsid w:val="006F3EB5"/>
    <w:rsid w:val="00702E34"/>
    <w:rsid w:val="00704395"/>
    <w:rsid w:val="007168F1"/>
    <w:rsid w:val="00720FF1"/>
    <w:rsid w:val="007220BE"/>
    <w:rsid w:val="007F3C8F"/>
    <w:rsid w:val="00812ED5"/>
    <w:rsid w:val="008277D9"/>
    <w:rsid w:val="008A3E8D"/>
    <w:rsid w:val="008A537A"/>
    <w:rsid w:val="008D671D"/>
    <w:rsid w:val="009214A5"/>
    <w:rsid w:val="009237C4"/>
    <w:rsid w:val="00950252"/>
    <w:rsid w:val="00967F5D"/>
    <w:rsid w:val="009A0F95"/>
    <w:rsid w:val="009B3ADF"/>
    <w:rsid w:val="009C3B52"/>
    <w:rsid w:val="009D4B39"/>
    <w:rsid w:val="00A42218"/>
    <w:rsid w:val="00A70249"/>
    <w:rsid w:val="00B33BEA"/>
    <w:rsid w:val="00B57C9F"/>
    <w:rsid w:val="00B845B3"/>
    <w:rsid w:val="00B85D8B"/>
    <w:rsid w:val="00BC7861"/>
    <w:rsid w:val="00BE3674"/>
    <w:rsid w:val="00C3049A"/>
    <w:rsid w:val="00C31B1E"/>
    <w:rsid w:val="00C54320"/>
    <w:rsid w:val="00C77645"/>
    <w:rsid w:val="00CE04C3"/>
    <w:rsid w:val="00CE76A0"/>
    <w:rsid w:val="00D148C6"/>
    <w:rsid w:val="00D14E07"/>
    <w:rsid w:val="00DD06FF"/>
    <w:rsid w:val="00DD5FE9"/>
    <w:rsid w:val="00E00C7A"/>
    <w:rsid w:val="00E55B68"/>
    <w:rsid w:val="00EB40A9"/>
    <w:rsid w:val="00F4758C"/>
    <w:rsid w:val="00F6003C"/>
    <w:rsid w:val="00F74360"/>
    <w:rsid w:val="00FB462F"/>
    <w:rsid w:val="00FE16FA"/>
    <w:rsid w:val="00FE328A"/>
    <w:rsid w:val="00FE632D"/>
    <w:rsid w:val="01C104AC"/>
    <w:rsid w:val="02616F6F"/>
    <w:rsid w:val="19CE0360"/>
    <w:rsid w:val="19F74BFA"/>
    <w:rsid w:val="1A97336F"/>
    <w:rsid w:val="22203977"/>
    <w:rsid w:val="25A37169"/>
    <w:rsid w:val="2B9D3987"/>
    <w:rsid w:val="2C32056D"/>
    <w:rsid w:val="319F4951"/>
    <w:rsid w:val="364E55EF"/>
    <w:rsid w:val="389311B3"/>
    <w:rsid w:val="3A8F5FAA"/>
    <w:rsid w:val="3C3E770F"/>
    <w:rsid w:val="3D8264BB"/>
    <w:rsid w:val="46486B3C"/>
    <w:rsid w:val="4987402A"/>
    <w:rsid w:val="4C874324"/>
    <w:rsid w:val="5B0B6D1E"/>
    <w:rsid w:val="5CAA0E1D"/>
    <w:rsid w:val="5EB3695C"/>
    <w:rsid w:val="63560B4E"/>
    <w:rsid w:val="67941812"/>
    <w:rsid w:val="6B1218B1"/>
    <w:rsid w:val="6DA93F01"/>
    <w:rsid w:val="7FA754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0B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220BE"/>
    <w:rPr>
      <w:sz w:val="18"/>
      <w:szCs w:val="18"/>
    </w:rPr>
  </w:style>
  <w:style w:type="paragraph" w:styleId="a4">
    <w:name w:val="footer"/>
    <w:basedOn w:val="a"/>
    <w:link w:val="Char0"/>
    <w:uiPriority w:val="99"/>
    <w:unhideWhenUsed/>
    <w:qFormat/>
    <w:rsid w:val="007220BE"/>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220B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7220BE"/>
    <w:rPr>
      <w:sz w:val="18"/>
      <w:szCs w:val="18"/>
    </w:rPr>
  </w:style>
  <w:style w:type="character" w:customStyle="1" w:styleId="Char0">
    <w:name w:val="页脚 Char"/>
    <w:basedOn w:val="a0"/>
    <w:link w:val="a4"/>
    <w:uiPriority w:val="99"/>
    <w:qFormat/>
    <w:rsid w:val="007220BE"/>
    <w:rPr>
      <w:sz w:val="18"/>
      <w:szCs w:val="18"/>
    </w:rPr>
  </w:style>
  <w:style w:type="paragraph" w:customStyle="1" w:styleId="Default">
    <w:name w:val="Default"/>
    <w:qFormat/>
    <w:rsid w:val="007220BE"/>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7220BE"/>
    <w:pPr>
      <w:ind w:firstLineChars="200" w:firstLine="420"/>
    </w:pPr>
  </w:style>
  <w:style w:type="character" w:customStyle="1" w:styleId="Char">
    <w:name w:val="批注框文本 Char"/>
    <w:basedOn w:val="a0"/>
    <w:link w:val="a3"/>
    <w:uiPriority w:val="99"/>
    <w:semiHidden/>
    <w:qFormat/>
    <w:rsid w:val="007220B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sanwen.net/suibi/shenghu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7FE922-EABC-4AB1-ADBA-83A6D8D82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711</Words>
  <Characters>4056</Characters>
  <Application>Microsoft Office Word</Application>
  <DocSecurity>0</DocSecurity>
  <Lines>33</Lines>
  <Paragraphs>9</Paragraphs>
  <ScaleCrop>false</ScaleCrop>
  <Company>Microsoft</Company>
  <LinksUpToDate>false</LinksUpToDate>
  <CharactersWithSpaces>4758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2021-06-05T10:03:00Z</dcterms:created>
  <dcterms:modified xsi:type="dcterms:W3CDTF">2021-06-05T10:03:00Z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8B043708B133433A8054C98F61C83D58</vt:lpwstr>
  </property>
</Properties>
</file>