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9"/>
        <w:jc w:val="center"/>
        <w:rPr>
          <w:sz w:val="56"/>
          <w:szCs w:val="56"/>
        </w:rPr>
      </w:pPr>
    </w:p>
    <w:p>
      <w:pPr>
        <w:pStyle w:val="9"/>
        <w:jc w:val="center"/>
        <w:rPr>
          <w:sz w:val="56"/>
          <w:szCs w:val="56"/>
        </w:rPr>
      </w:pPr>
    </w:p>
    <w:p>
      <w:pPr>
        <w:pStyle w:val="9"/>
        <w:jc w:val="center"/>
        <w:rPr>
          <w:sz w:val="84"/>
          <w:szCs w:val="84"/>
        </w:rPr>
      </w:pPr>
    </w:p>
    <w:p>
      <w:pPr>
        <w:pStyle w:val="9"/>
        <w:jc w:val="center"/>
        <w:rPr>
          <w:sz w:val="84"/>
          <w:szCs w:val="84"/>
        </w:rPr>
      </w:pPr>
    </w:p>
    <w:p>
      <w:pPr>
        <w:pStyle w:val="9"/>
        <w:jc w:val="center"/>
        <w:rPr>
          <w:sz w:val="84"/>
          <w:szCs w:val="84"/>
        </w:rPr>
      </w:pPr>
      <w:r>
        <w:rPr>
          <w:rFonts w:hint="eastAsia"/>
          <w:sz w:val="84"/>
          <w:szCs w:val="84"/>
        </w:rPr>
        <w:t>2019年度</w:t>
      </w:r>
    </w:p>
    <w:p>
      <w:pPr>
        <w:pStyle w:val="9"/>
        <w:jc w:val="center"/>
        <w:rPr>
          <w:sz w:val="84"/>
          <w:szCs w:val="84"/>
        </w:rPr>
      </w:pPr>
      <w:r>
        <w:rPr>
          <w:rFonts w:hint="eastAsia"/>
          <w:sz w:val="84"/>
          <w:szCs w:val="84"/>
        </w:rPr>
        <w:t>鹤城区工业和信息化局部门决算</w:t>
      </w: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jc w:val="center"/>
        <w:rPr>
          <w:sz w:val="56"/>
          <w:szCs w:val="56"/>
        </w:rPr>
      </w:pPr>
    </w:p>
    <w:p>
      <w:pPr>
        <w:pStyle w:val="9"/>
        <w:spacing w:line="540" w:lineRule="exact"/>
        <w:jc w:val="center"/>
        <w:rPr>
          <w:sz w:val="56"/>
          <w:szCs w:val="56"/>
        </w:rPr>
      </w:pPr>
    </w:p>
    <w:p>
      <w:pPr>
        <w:pStyle w:val="9"/>
        <w:spacing w:line="520" w:lineRule="exact"/>
        <w:jc w:val="center"/>
        <w:rPr>
          <w:sz w:val="56"/>
          <w:szCs w:val="56"/>
        </w:rPr>
      </w:pPr>
      <w:r>
        <w:rPr>
          <w:rFonts w:hint="eastAsia"/>
          <w:sz w:val="56"/>
          <w:szCs w:val="56"/>
        </w:rPr>
        <w:t>目录</w:t>
      </w:r>
    </w:p>
    <w:p>
      <w:pPr>
        <w:pStyle w:val="9"/>
        <w:spacing w:line="520" w:lineRule="exact"/>
        <w:rPr>
          <w:rFonts w:ascii="仿宋_GB2312" w:hAnsi="仿宋_GB2312" w:cs="仿宋_GB2312"/>
          <w:b/>
          <w:sz w:val="28"/>
          <w:szCs w:val="28"/>
        </w:rPr>
      </w:pPr>
      <w:r>
        <w:rPr>
          <w:rFonts w:hint="eastAsia"/>
          <w:b/>
          <w:sz w:val="28"/>
          <w:szCs w:val="28"/>
        </w:rPr>
        <w:t>第一部分区工信局概况</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一、部门职责</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二、机构设置</w:t>
      </w:r>
    </w:p>
    <w:p>
      <w:pPr>
        <w:pStyle w:val="9"/>
        <w:spacing w:line="520" w:lineRule="exact"/>
        <w:rPr>
          <w:rFonts w:ascii="仿宋_GB2312" w:hAnsi="仿宋_GB2312" w:cs="仿宋_GB2312"/>
          <w:b/>
          <w:sz w:val="28"/>
          <w:szCs w:val="28"/>
        </w:rPr>
      </w:pPr>
      <w:r>
        <w:rPr>
          <w:rFonts w:hint="eastAsia" w:hAnsi="仿宋_GB2312"/>
          <w:b/>
          <w:sz w:val="28"/>
          <w:szCs w:val="28"/>
        </w:rPr>
        <w:t>第二部分</w:t>
      </w:r>
      <w:r>
        <w:rPr>
          <w:rFonts w:hAnsi="仿宋_GB2312"/>
          <w:b/>
          <w:sz w:val="28"/>
          <w:szCs w:val="28"/>
        </w:rPr>
        <w:t>2019</w:t>
      </w:r>
      <w:r>
        <w:rPr>
          <w:rFonts w:hint="eastAsia" w:hAnsi="仿宋_GB2312"/>
          <w:b/>
          <w:sz w:val="28"/>
          <w:szCs w:val="28"/>
        </w:rPr>
        <w:t>年度部门决算表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二、收入决算表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三、支出决算表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四、财政拨款收入支出决算总表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五、一般公共预算财政拨款支出决算表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六、一般公共预算财政拨款基本支出决算表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七、一般公共预算财政拨款“三公”经费支出决算表</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八、政府性基金预算财政拨款收入支出决算表</w:t>
      </w:r>
    </w:p>
    <w:p>
      <w:pPr>
        <w:pStyle w:val="9"/>
        <w:spacing w:line="520" w:lineRule="exact"/>
        <w:rPr>
          <w:rFonts w:ascii="仿宋_GB2312" w:hAnsi="仿宋_GB2312" w:cs="仿宋_GB2312"/>
          <w:b/>
          <w:sz w:val="28"/>
          <w:szCs w:val="28"/>
        </w:rPr>
      </w:pPr>
      <w:r>
        <w:rPr>
          <w:rFonts w:hint="eastAsia" w:hAnsi="仿宋_GB2312"/>
          <w:b/>
          <w:sz w:val="28"/>
          <w:szCs w:val="28"/>
        </w:rPr>
        <w:t>第三部分</w:t>
      </w:r>
      <w:r>
        <w:rPr>
          <w:rFonts w:hAnsi="仿宋_GB2312"/>
          <w:b/>
          <w:sz w:val="28"/>
          <w:szCs w:val="28"/>
        </w:rPr>
        <w:t>2019</w:t>
      </w:r>
      <w:r>
        <w:rPr>
          <w:rFonts w:hint="eastAsia" w:hAnsi="仿宋_GB2312"/>
          <w:b/>
          <w:sz w:val="28"/>
          <w:szCs w:val="28"/>
        </w:rPr>
        <w:t>年度部门决算情况说明</w:t>
      </w:r>
    </w:p>
    <w:p>
      <w:pPr>
        <w:pStyle w:val="9"/>
        <w:spacing w:line="520" w:lineRule="exact"/>
        <w:ind w:firstLine="700" w:firstLineChars="250"/>
        <w:rPr>
          <w:rFonts w:cs="仿宋_GB2312" w:asciiTheme="minorEastAsia" w:hAnsiTheme="minorEastAsia" w:eastAsiaTheme="minorEastAsia"/>
          <w:sz w:val="28"/>
          <w:szCs w:val="28"/>
        </w:rPr>
      </w:pPr>
      <w:r>
        <w:rPr>
          <w:rFonts w:cs="仿宋_GB2312" w:asciiTheme="minorEastAsia" w:hAnsiTheme="minorEastAsia" w:eastAsiaTheme="minorEastAsia"/>
          <w:sz w:val="28"/>
          <w:szCs w:val="28"/>
        </w:rPr>
        <w:t>一、收入支出决算总体情况说明</w:t>
      </w:r>
    </w:p>
    <w:p>
      <w:pPr>
        <w:spacing w:line="520" w:lineRule="exact"/>
        <w:ind w:firstLine="700" w:firstLineChars="250"/>
        <w:jc w:val="left"/>
        <w:rPr>
          <w:rFonts w:ascii="仿宋_GB2312" w:hAnsi="仿宋_GB2312" w:cs="仿宋_GB2312"/>
          <w:sz w:val="28"/>
          <w:szCs w:val="28"/>
        </w:rPr>
      </w:pPr>
      <w:r>
        <w:rPr>
          <w:rFonts w:ascii="仿宋_GB2312" w:hAnsi="仿宋_GB2312" w:cs="仿宋_GB2312"/>
          <w:sz w:val="28"/>
          <w:szCs w:val="28"/>
        </w:rPr>
        <w:t>二、收入决算情况说明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三、支出决算情况说明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四、财政拨款收入支出决算总体情况说明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五、一般公共预算财政拨款支出决算情况说明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六、一般公共预算财政拨款基本支出决算情况说明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ascii="仿宋_GB2312" w:hAnsi="仿宋_GB2312" w:cs="仿宋_GB2312"/>
          <w:color w:val="000000"/>
          <w:kern w:val="0"/>
          <w:sz w:val="28"/>
          <w:szCs w:val="28"/>
        </w:rPr>
        <w:t>七、一般公共预算财政拨款三公经费支出决算情况说明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八</w:t>
      </w:r>
      <w:r>
        <w:rPr>
          <w:rFonts w:ascii="仿宋_GB2312" w:hAnsi="仿宋_GB2312" w:cs="仿宋_GB2312"/>
          <w:color w:val="000000"/>
          <w:kern w:val="0"/>
          <w:sz w:val="28"/>
          <w:szCs w:val="28"/>
        </w:rPr>
        <w:t>、</w:t>
      </w:r>
      <w:r>
        <w:rPr>
          <w:rFonts w:hint="eastAsia" w:ascii="仿宋_GB2312" w:hAnsi="仿宋_GB2312" w:cs="仿宋_GB2312"/>
          <w:color w:val="000000"/>
          <w:kern w:val="0"/>
          <w:sz w:val="28"/>
          <w:szCs w:val="28"/>
        </w:rPr>
        <w:t>政府性基金预算收入支出决算情况</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九</w:t>
      </w:r>
      <w:r>
        <w:rPr>
          <w:rFonts w:ascii="仿宋_GB2312" w:hAnsi="仿宋_GB2312" w:cs="仿宋_GB2312"/>
          <w:color w:val="000000"/>
          <w:kern w:val="0"/>
          <w:sz w:val="28"/>
          <w:szCs w:val="28"/>
        </w:rPr>
        <w:t>、预算绩效情况说明</w:t>
      </w:r>
    </w:p>
    <w:p>
      <w:pPr>
        <w:autoSpaceDE w:val="0"/>
        <w:autoSpaceDN w:val="0"/>
        <w:adjustRightInd w:val="0"/>
        <w:spacing w:line="520" w:lineRule="exact"/>
        <w:ind w:firstLine="700" w:firstLineChars="250"/>
        <w:jc w:val="left"/>
        <w:rPr>
          <w:rFonts w:ascii="仿宋_GB2312" w:hAnsi="仿宋_GB2312" w:cs="仿宋_GB2312"/>
          <w:color w:val="000000"/>
          <w:kern w:val="0"/>
          <w:sz w:val="28"/>
          <w:szCs w:val="28"/>
        </w:rPr>
      </w:pPr>
      <w:r>
        <w:rPr>
          <w:rFonts w:hint="eastAsia" w:ascii="仿宋_GB2312" w:hAnsi="仿宋_GB2312" w:cs="仿宋_GB2312"/>
          <w:color w:val="000000"/>
          <w:kern w:val="0"/>
          <w:sz w:val="28"/>
          <w:szCs w:val="28"/>
        </w:rPr>
        <w:t>十</w:t>
      </w:r>
      <w:r>
        <w:rPr>
          <w:rFonts w:ascii="仿宋_GB2312" w:hAnsi="仿宋_GB2312" w:cs="仿宋_GB2312"/>
          <w:color w:val="000000"/>
          <w:kern w:val="0"/>
          <w:sz w:val="28"/>
          <w:szCs w:val="28"/>
        </w:rPr>
        <w:t>、其他重要事项情况说明</w:t>
      </w:r>
    </w:p>
    <w:p>
      <w:pPr>
        <w:autoSpaceDE w:val="0"/>
        <w:autoSpaceDN w:val="0"/>
        <w:adjustRightInd w:val="0"/>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第四部分名词解释</w:t>
      </w:r>
    </w:p>
    <w:p>
      <w:pPr>
        <w:spacing w:line="520" w:lineRule="exact"/>
        <w:jc w:val="left"/>
        <w:rPr>
          <w:rFonts w:ascii="黑体" w:hAnsi="黑体" w:eastAsia="黑体" w:cs="仿宋_GB2312"/>
          <w:b/>
          <w:color w:val="000000"/>
          <w:kern w:val="0"/>
          <w:sz w:val="28"/>
          <w:szCs w:val="28"/>
        </w:rPr>
      </w:pPr>
      <w:r>
        <w:rPr>
          <w:rFonts w:ascii="黑体" w:hAnsi="黑体" w:eastAsia="黑体" w:cs="黑体"/>
          <w:b/>
          <w:color w:val="000000"/>
          <w:kern w:val="0"/>
          <w:sz w:val="28"/>
          <w:szCs w:val="28"/>
        </w:rPr>
        <w:t>第五部分附件</w:t>
      </w:r>
    </w:p>
    <w:p>
      <w:pPr>
        <w:jc w:val="center"/>
        <w:rPr>
          <w:sz w:val="72"/>
          <w:szCs w:val="72"/>
        </w:rPr>
      </w:pPr>
    </w:p>
    <w:p>
      <w:pPr>
        <w:jc w:val="center"/>
        <w:rPr>
          <w:sz w:val="72"/>
          <w:szCs w:val="72"/>
        </w:rPr>
      </w:pPr>
    </w:p>
    <w:p>
      <w:pPr>
        <w:jc w:val="center"/>
        <w:rPr>
          <w:sz w:val="72"/>
          <w:szCs w:val="72"/>
        </w:rPr>
      </w:pPr>
    </w:p>
    <w:p>
      <w:pPr>
        <w:jc w:val="center"/>
        <w:rPr>
          <w:sz w:val="72"/>
          <w:szCs w:val="72"/>
        </w:rPr>
      </w:pPr>
    </w:p>
    <w:p>
      <w:pPr>
        <w:rPr>
          <w:sz w:val="72"/>
          <w:szCs w:val="72"/>
        </w:rPr>
      </w:pPr>
    </w:p>
    <w:p>
      <w:pPr>
        <w:pStyle w:val="9"/>
        <w:jc w:val="center"/>
        <w:rPr>
          <w:sz w:val="84"/>
          <w:szCs w:val="84"/>
        </w:rPr>
      </w:pPr>
      <w:r>
        <w:rPr>
          <w:rFonts w:hint="eastAsia"/>
          <w:sz w:val="84"/>
          <w:szCs w:val="84"/>
        </w:rPr>
        <w:t>第一部分</w:t>
      </w:r>
    </w:p>
    <w:p>
      <w:pPr>
        <w:pStyle w:val="9"/>
        <w:jc w:val="center"/>
        <w:rPr>
          <w:sz w:val="84"/>
          <w:szCs w:val="84"/>
        </w:rPr>
      </w:pPr>
    </w:p>
    <w:p>
      <w:pPr>
        <w:pStyle w:val="9"/>
        <w:jc w:val="center"/>
        <w:rPr>
          <w:sz w:val="84"/>
          <w:szCs w:val="84"/>
        </w:rPr>
      </w:pPr>
      <w:r>
        <w:rPr>
          <w:rFonts w:hint="eastAsia"/>
          <w:sz w:val="84"/>
          <w:szCs w:val="84"/>
        </w:rPr>
        <w:t>鹤城区工业和信息化局概况</w:t>
      </w:r>
    </w:p>
    <w:p>
      <w:pPr>
        <w:jc w:val="center"/>
        <w:rPr>
          <w:sz w:val="72"/>
          <w:szCs w:val="72"/>
        </w:rPr>
      </w:pPr>
    </w:p>
    <w:p>
      <w:pPr>
        <w:jc w:val="center"/>
        <w:rPr>
          <w:sz w:val="72"/>
          <w:szCs w:val="72"/>
        </w:rPr>
      </w:pPr>
    </w:p>
    <w:p>
      <w:pPr>
        <w:jc w:val="center"/>
        <w:rPr>
          <w:sz w:val="72"/>
          <w:szCs w:val="72"/>
        </w:rPr>
      </w:pPr>
    </w:p>
    <w:p>
      <w:pPr>
        <w:jc w:val="center"/>
        <w:rPr>
          <w:sz w:val="72"/>
          <w:szCs w:val="72"/>
        </w:rPr>
      </w:pPr>
    </w:p>
    <w:p>
      <w:pPr>
        <w:jc w:val="center"/>
        <w:rPr>
          <w:sz w:val="72"/>
          <w:szCs w:val="72"/>
        </w:rPr>
      </w:pPr>
    </w:p>
    <w:p>
      <w:pPr>
        <w:pStyle w:val="10"/>
        <w:ind w:left="720" w:firstLine="0" w:firstLineChars="0"/>
        <w:jc w:val="left"/>
        <w:rPr>
          <w:rFonts w:ascii="黑体" w:hAnsi="黑体" w:eastAsia="黑体"/>
          <w:sz w:val="32"/>
          <w:szCs w:val="32"/>
        </w:rPr>
      </w:pPr>
    </w:p>
    <w:p>
      <w:pPr>
        <w:pStyle w:val="10"/>
        <w:numPr>
          <w:ilvl w:val="0"/>
          <w:numId w:val="1"/>
        </w:numPr>
        <w:ind w:firstLineChars="0"/>
        <w:jc w:val="left"/>
        <w:rPr>
          <w:rFonts w:ascii="黑体" w:hAnsi="黑体" w:eastAsia="黑体"/>
          <w:sz w:val="32"/>
          <w:szCs w:val="32"/>
        </w:rPr>
      </w:pPr>
      <w:r>
        <w:rPr>
          <w:rFonts w:ascii="黑体" w:hAnsi="黑体" w:eastAsia="黑体"/>
          <w:sz w:val="32"/>
          <w:szCs w:val="32"/>
        </w:rPr>
        <w:t>部门职责</w:t>
      </w:r>
    </w:p>
    <w:p>
      <w:pPr>
        <w:spacing w:line="500" w:lineRule="exact"/>
        <w:ind w:firstLine="1280" w:firstLineChars="400"/>
        <w:jc w:val="left"/>
        <w:rPr>
          <w:rFonts w:asciiTheme="minorEastAsia" w:hAnsiTheme="minorEastAsia" w:cstheme="minorEastAsia"/>
          <w:sz w:val="32"/>
          <w:szCs w:val="32"/>
        </w:rPr>
      </w:pPr>
      <w:r>
        <w:rPr>
          <w:rFonts w:hint="eastAsia" w:asciiTheme="minorEastAsia" w:hAnsiTheme="minorEastAsia" w:cstheme="minorEastAsia"/>
          <w:sz w:val="32"/>
          <w:szCs w:val="32"/>
        </w:rPr>
        <w:t>鹤城区工业和信息化局是全额拨款的行政单位，具体负责拟订全区工业经济和信息化发展规划、政策并组织实施；推进信息化和工业化融合，协调解决新型工业化进程中的重大问题；参与制定全区经济发展战略目标及中长期规划。编制并组织实施近期经济运行调控目标，监测、分析全区经济运行态势，负责收集、整理和发布全区工业经济、信息产业统计及行业信息。</w:t>
      </w:r>
    </w:p>
    <w:p>
      <w:pPr>
        <w:widowControl/>
        <w:numPr>
          <w:ilvl w:val="0"/>
          <w:numId w:val="2"/>
        </w:numPr>
        <w:spacing w:line="600" w:lineRule="exact"/>
        <w:rPr>
          <w:rFonts w:ascii="黑体" w:hAnsi="黑体" w:eastAsia="黑体"/>
          <w:bCs/>
          <w:kern w:val="0"/>
          <w:sz w:val="32"/>
          <w:szCs w:val="32"/>
        </w:rPr>
      </w:pPr>
      <w:r>
        <w:rPr>
          <w:rFonts w:hint="eastAsia" w:ascii="黑体" w:hAnsi="黑体" w:eastAsia="黑体"/>
          <w:bCs/>
          <w:kern w:val="0"/>
          <w:sz w:val="32"/>
          <w:szCs w:val="32"/>
        </w:rPr>
        <w:t>机构设置及决算单位构成</w:t>
      </w:r>
    </w:p>
    <w:p>
      <w:pPr>
        <w:widowControl/>
        <w:spacing w:line="600" w:lineRule="exact"/>
        <w:rPr>
          <w:rFonts w:ascii="黑体" w:hAnsi="黑体" w:eastAsia="黑体"/>
          <w:bCs/>
          <w:kern w:val="0"/>
          <w:sz w:val="32"/>
          <w:szCs w:val="32"/>
        </w:rPr>
      </w:pPr>
    </w:p>
    <w:p>
      <w:pPr>
        <w:spacing w:line="500" w:lineRule="exact"/>
        <w:ind w:firstLine="320" w:firstLineChars="100"/>
        <w:jc w:val="left"/>
        <w:rPr>
          <w:rFonts w:asciiTheme="minorEastAsia" w:hAnsiTheme="minorEastAsia" w:cstheme="minorEastAsia"/>
          <w:color w:val="FF0000"/>
          <w:sz w:val="32"/>
          <w:szCs w:val="32"/>
        </w:rPr>
      </w:pPr>
      <w:r>
        <w:rPr>
          <w:rFonts w:hint="eastAsia" w:asciiTheme="minorEastAsia" w:hAnsiTheme="minorEastAsia" w:cstheme="minorEastAsia"/>
          <w:bCs/>
          <w:kern w:val="0"/>
          <w:sz w:val="32"/>
          <w:szCs w:val="32"/>
        </w:rPr>
        <w:t>（一）内设机构设置。</w:t>
      </w:r>
      <w:r>
        <w:rPr>
          <w:rFonts w:hint="eastAsia" w:asciiTheme="minorEastAsia" w:hAnsiTheme="minorEastAsia" w:cstheme="minorEastAsia"/>
          <w:sz w:val="32"/>
          <w:szCs w:val="32"/>
        </w:rPr>
        <w:t>怀化市鹤城区工业和信息化局作为一级部门预算单位，内设6个股室，分别为：办公室、经济运行股、信息产业股、人事股、财务室、投资规划股。</w:t>
      </w:r>
    </w:p>
    <w:p>
      <w:pPr>
        <w:widowControl/>
        <w:spacing w:line="600" w:lineRule="exact"/>
        <w:ind w:firstLine="320" w:firstLineChars="100"/>
        <w:rPr>
          <w:rFonts w:asciiTheme="minorEastAsia" w:hAnsiTheme="minorEastAsia" w:cstheme="minorEastAsia"/>
          <w:bCs/>
          <w:kern w:val="0"/>
          <w:sz w:val="32"/>
          <w:szCs w:val="32"/>
        </w:rPr>
      </w:pPr>
      <w:r>
        <w:rPr>
          <w:rFonts w:hint="eastAsia" w:asciiTheme="minorEastAsia" w:hAnsiTheme="minorEastAsia" w:cstheme="minorEastAsia"/>
          <w:bCs/>
          <w:kern w:val="0"/>
          <w:sz w:val="32"/>
          <w:szCs w:val="32"/>
        </w:rPr>
        <w:t>（二）决算单位构成。区工业和信息化局2019年部门决算汇总公开单位构成为本单位。</w:t>
      </w:r>
    </w:p>
    <w:p>
      <w:pPr>
        <w:widowControl/>
        <w:spacing w:line="600" w:lineRule="exact"/>
        <w:rPr>
          <w:rFonts w:asciiTheme="minorEastAsia" w:hAnsiTheme="minorEastAsia" w:cstheme="minorEastAsia"/>
          <w:sz w:val="32"/>
          <w:szCs w:val="32"/>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rFonts w:ascii="黑体" w:hAnsi="黑体" w:eastAsia="黑体"/>
          <w:sz w:val="28"/>
          <w:szCs w:val="28"/>
        </w:rPr>
      </w:pPr>
    </w:p>
    <w:p>
      <w:pPr>
        <w:jc w:val="center"/>
        <w:rPr>
          <w:sz w:val="72"/>
          <w:szCs w:val="72"/>
        </w:rPr>
      </w:pPr>
      <w:r>
        <w:rPr>
          <w:rFonts w:hint="eastAsia"/>
          <w:sz w:val="72"/>
          <w:szCs w:val="72"/>
        </w:rPr>
        <w:t>第二部分</w:t>
      </w:r>
    </w:p>
    <w:p>
      <w:pPr>
        <w:jc w:val="center"/>
        <w:rPr>
          <w:sz w:val="72"/>
          <w:szCs w:val="72"/>
        </w:rPr>
      </w:pPr>
    </w:p>
    <w:p>
      <w:pPr>
        <w:jc w:val="center"/>
        <w:rPr>
          <w:sz w:val="72"/>
          <w:szCs w:val="72"/>
        </w:rPr>
      </w:pPr>
      <w:r>
        <w:rPr>
          <w:rFonts w:hint="eastAsia"/>
          <w:sz w:val="72"/>
          <w:szCs w:val="72"/>
        </w:rPr>
        <w:t>部门决算表（详见附表）</w:t>
      </w:r>
    </w:p>
    <w:p>
      <w:pPr>
        <w:jc w:val="center"/>
        <w:rPr>
          <w:sz w:val="72"/>
          <w:szCs w:val="72"/>
        </w:rPr>
      </w:pPr>
    </w:p>
    <w:p>
      <w:pPr>
        <w:pStyle w:val="9"/>
        <w:rPr>
          <w:sz w:val="72"/>
          <w:szCs w:val="72"/>
        </w:rPr>
        <w:sectPr>
          <w:pgSz w:w="16838" w:h="11906" w:orient="landscape"/>
          <w:pgMar w:top="720" w:right="720" w:bottom="720" w:left="720" w:header="851" w:footer="992" w:gutter="0"/>
          <w:cols w:space="425" w:num="1"/>
          <w:docGrid w:type="lines" w:linePitch="312" w:charSpace="0"/>
        </w:sectPr>
      </w:pPr>
    </w:p>
    <w:p>
      <w:pPr>
        <w:pStyle w:val="9"/>
        <w:rPr>
          <w:sz w:val="72"/>
          <w:szCs w:val="72"/>
        </w:rPr>
      </w:pPr>
    </w:p>
    <w:p>
      <w:pPr>
        <w:pStyle w:val="9"/>
        <w:rPr>
          <w:sz w:val="72"/>
          <w:szCs w:val="72"/>
        </w:rPr>
      </w:pPr>
    </w:p>
    <w:p>
      <w:pPr>
        <w:pStyle w:val="9"/>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第三部分</w:t>
      </w:r>
    </w:p>
    <w:p>
      <w:pPr>
        <w:pStyle w:val="9"/>
        <w:jc w:val="center"/>
        <w:rPr>
          <w:sz w:val="70"/>
          <w:szCs w:val="70"/>
        </w:rPr>
      </w:pPr>
    </w:p>
    <w:p>
      <w:pPr>
        <w:pStyle w:val="9"/>
        <w:jc w:val="center"/>
        <w:rPr>
          <w:sz w:val="70"/>
          <w:szCs w:val="70"/>
        </w:rPr>
      </w:pPr>
      <w:r>
        <w:rPr>
          <w:sz w:val="70"/>
          <w:szCs w:val="70"/>
        </w:rPr>
        <w:t>2019</w:t>
      </w:r>
      <w:r>
        <w:rPr>
          <w:rFonts w:hint="eastAsia"/>
          <w:sz w:val="70"/>
          <w:szCs w:val="70"/>
        </w:rPr>
        <w:t>年度部门决算情况说明</w:t>
      </w:r>
    </w:p>
    <w:p>
      <w:pPr>
        <w:widowControl/>
        <w:jc w:val="left"/>
        <w:rPr>
          <w:rFonts w:ascii="黑体" w:eastAsia="黑体" w:cs="黑体"/>
          <w:color w:val="000000"/>
          <w:kern w:val="0"/>
          <w:sz w:val="70"/>
          <w:szCs w:val="70"/>
        </w:rPr>
      </w:pPr>
      <w:r>
        <w:rPr>
          <w:sz w:val="70"/>
          <w:szCs w:val="70"/>
        </w:rPr>
        <w:br w:type="page"/>
      </w:r>
    </w:p>
    <w:p>
      <w:pPr>
        <w:pStyle w:val="9"/>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一、收入支出决算总体情况说明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2019年度决算收入总计688.5</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万元，与2018年相比，增加48万元，增加0.6.9%，主要是因为人员增加。</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2019年度决算支出总计615.7</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万元。与2018年相比，减少39.9万元，减少6.4%，主要是因为厉行勤俭节约。</w:t>
      </w:r>
    </w:p>
    <w:p>
      <w:pPr>
        <w:pStyle w:val="9"/>
        <w:rPr>
          <w:rFonts w:hAnsi="黑体"/>
          <w:b/>
          <w:sz w:val="32"/>
          <w:szCs w:val="32"/>
        </w:rPr>
      </w:pPr>
      <w:r>
        <w:rPr>
          <w:rFonts w:hint="eastAsia" w:hAnsi="黑体"/>
          <w:b/>
          <w:sz w:val="32"/>
          <w:szCs w:val="32"/>
        </w:rPr>
        <w:t>二、收入决算情况说明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本年收入合计688.5</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万元，其中：财政拨款收入688.5</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万元，占100%；上级补助收入0万元，占0%；事业收入0万元，占0%；经营收入0万元，占0%；附属单位上缴收入0万元，占0%；其他收入0万元，占0%。</w:t>
      </w:r>
    </w:p>
    <w:p>
      <w:pPr>
        <w:pStyle w:val="9"/>
        <w:rPr>
          <w:rFonts w:hAnsi="黑体"/>
          <w:b/>
          <w:sz w:val="32"/>
          <w:szCs w:val="32"/>
        </w:rPr>
      </w:pPr>
      <w:r>
        <w:rPr>
          <w:rFonts w:hint="eastAsia" w:hAnsi="黑体"/>
          <w:b/>
          <w:sz w:val="32"/>
          <w:szCs w:val="32"/>
        </w:rPr>
        <w:t>三、支出决算情况说明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本年支出合计615.7</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万元，其中：基本支出615.7</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万元，占100%；项目支出0万元，占0%；上缴上级支出0万元，占0%；经营支出0万元，占0%；对附属单位补助支出0万元，占0%。</w:t>
      </w:r>
    </w:p>
    <w:p>
      <w:pPr>
        <w:pStyle w:val="9"/>
        <w:rPr>
          <w:rFonts w:hAnsi="黑体"/>
          <w:b/>
          <w:sz w:val="32"/>
          <w:szCs w:val="32"/>
        </w:rPr>
      </w:pPr>
      <w:r>
        <w:rPr>
          <w:rFonts w:hint="eastAsia" w:hAnsi="黑体"/>
          <w:b/>
          <w:sz w:val="32"/>
          <w:szCs w:val="32"/>
        </w:rPr>
        <w:t>四、财政拨款收入支出决算总体情况说明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 xml:space="preserve"> 2019年度财政拨款收入总计688.5</w:t>
      </w:r>
      <w:r>
        <w:rPr>
          <w:rFonts w:hint="eastAsia" w:asciiTheme="minorEastAsia" w:hAnsiTheme="minorEastAsia" w:eastAsiaTheme="minorEastAsia"/>
          <w:sz w:val="32"/>
          <w:szCs w:val="32"/>
          <w:lang w:val="en-US" w:eastAsia="zh-CN"/>
        </w:rPr>
        <w:t>9</w:t>
      </w:r>
      <w:r>
        <w:rPr>
          <w:rFonts w:hint="eastAsia" w:asciiTheme="minorEastAsia" w:hAnsiTheme="minorEastAsia" w:eastAsiaTheme="minorEastAsia"/>
          <w:sz w:val="32"/>
          <w:szCs w:val="32"/>
        </w:rPr>
        <w:t>万元，与2018年相比，增加48万元，增加0.6.9%，主要是因为人员增加。</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2019年度财政拨款支出总计615.7</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万元。与2018年相比，减少39.9万元，减少6.4%，主要是因为厉行勤俭节约。</w:t>
      </w:r>
    </w:p>
    <w:p>
      <w:pPr>
        <w:pStyle w:val="9"/>
        <w:ind w:firstLine="640" w:firstLineChars="200"/>
        <w:rPr>
          <w:rFonts w:asciiTheme="minorEastAsia" w:hAnsiTheme="minorEastAsia" w:eastAsiaTheme="minorEastAsia"/>
          <w:sz w:val="32"/>
          <w:szCs w:val="32"/>
        </w:rPr>
      </w:pPr>
    </w:p>
    <w:p>
      <w:pPr>
        <w:pStyle w:val="9"/>
        <w:rPr>
          <w:rFonts w:hAnsi="黑体"/>
          <w:b/>
          <w:sz w:val="32"/>
          <w:szCs w:val="32"/>
        </w:rPr>
      </w:pPr>
      <w:r>
        <w:rPr>
          <w:rFonts w:hint="eastAsia" w:hAnsi="黑体"/>
          <w:b/>
          <w:sz w:val="32"/>
          <w:szCs w:val="32"/>
        </w:rPr>
        <w:t>五、一般公共预算财政拨款支出决算情况说明</w:t>
      </w: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（一）财政拨款支出决算总体情况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2019年度财政拨款支出615.7</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万元，占本年支出合计的100%，与2018年相比，减少39.9万元，减少6.4%，主要是因为厉行勤俭节约。</w:t>
      </w:r>
    </w:p>
    <w:p>
      <w:pPr>
        <w:pStyle w:val="9"/>
        <w:ind w:firstLine="640" w:firstLineChars="200"/>
        <w:rPr>
          <w:rFonts w:asciiTheme="minorEastAsia" w:hAnsiTheme="minorEastAsia" w:eastAsiaTheme="minorEastAsia"/>
          <w:sz w:val="32"/>
          <w:szCs w:val="32"/>
        </w:rPr>
      </w:pPr>
    </w:p>
    <w:p>
      <w:pPr>
        <w:pStyle w:val="9"/>
        <w:ind w:firstLine="640" w:firstLineChars="200"/>
        <w:rPr>
          <w:rFonts w:asciiTheme="minorEastAsia" w:hAnsiTheme="minorEastAsia" w:eastAsiaTheme="minorEastAsia"/>
          <w:b/>
          <w:sz w:val="32"/>
          <w:szCs w:val="32"/>
        </w:rPr>
      </w:pPr>
      <w:r>
        <w:rPr>
          <w:rFonts w:hint="eastAsia" w:asciiTheme="minorEastAsia" w:hAnsiTheme="minorEastAsia" w:eastAsiaTheme="minorEastAsia"/>
          <w:b/>
          <w:sz w:val="32"/>
          <w:szCs w:val="32"/>
        </w:rPr>
        <w:t>（二）财政拨款支出决算结构情况</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2019年度财政拨款支615.7</w:t>
      </w:r>
      <w:r>
        <w:rPr>
          <w:rFonts w:hint="eastAsia" w:asciiTheme="minorEastAsia" w:hAnsiTheme="minorEastAsia" w:eastAsiaTheme="minorEastAsia"/>
          <w:sz w:val="32"/>
          <w:szCs w:val="32"/>
          <w:lang w:val="en-US" w:eastAsia="zh-CN"/>
        </w:rPr>
        <w:t>7</w:t>
      </w:r>
      <w:r>
        <w:rPr>
          <w:rFonts w:hint="eastAsia" w:asciiTheme="minorEastAsia" w:hAnsiTheme="minorEastAsia" w:eastAsiaTheme="minorEastAsia"/>
          <w:sz w:val="32"/>
          <w:szCs w:val="32"/>
        </w:rPr>
        <w:t>万元，主要用于以下方面：一般公共服务支出（201类）448.3万元，占72.8%，社会保障和就业支出208（类）139.4万元，占22.6%；资源勘探信息等支出215（类）28万元，占4.6%。</w:t>
      </w:r>
    </w:p>
    <w:p>
      <w:pPr>
        <w:pStyle w:val="9"/>
        <w:ind w:firstLine="640" w:firstLineChars="200"/>
        <w:rPr>
          <w:rFonts w:asciiTheme="minorEastAsia" w:hAnsiTheme="minorEastAsia" w:eastAsiaTheme="minorEastAsia"/>
          <w:b/>
          <w:color w:val="auto"/>
          <w:sz w:val="32"/>
          <w:szCs w:val="32"/>
        </w:rPr>
      </w:pPr>
      <w:r>
        <w:rPr>
          <w:rFonts w:hint="eastAsia" w:asciiTheme="minorEastAsia" w:hAnsiTheme="minorEastAsia" w:eastAsiaTheme="minorEastAsia"/>
          <w:b/>
          <w:color w:val="auto"/>
          <w:sz w:val="32"/>
          <w:szCs w:val="32"/>
        </w:rPr>
        <w:t>（三）财政拨款支出决算具体情况</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2019年度财政拨款支出年初预算数为404万元，支出决算数为615.7</w:t>
      </w:r>
      <w:r>
        <w:rPr>
          <w:rFonts w:hint="eastAsia" w:asciiTheme="minorEastAsia" w:hAnsiTheme="minorEastAsia" w:eastAsiaTheme="minorEastAsia"/>
          <w:color w:val="auto"/>
          <w:sz w:val="32"/>
          <w:szCs w:val="32"/>
          <w:lang w:val="en-US" w:eastAsia="zh-CN"/>
        </w:rPr>
        <w:t>7</w:t>
      </w:r>
      <w:r>
        <w:rPr>
          <w:rFonts w:hint="eastAsia" w:asciiTheme="minorEastAsia" w:hAnsiTheme="minorEastAsia" w:eastAsiaTheme="minorEastAsia"/>
          <w:color w:val="auto"/>
          <w:sz w:val="32"/>
          <w:szCs w:val="32"/>
        </w:rPr>
        <w:t>万元，完成年初预算的152%，其中：</w:t>
      </w:r>
    </w:p>
    <w:p>
      <w:pPr>
        <w:pStyle w:val="9"/>
        <w:numPr>
          <w:ilvl w:val="0"/>
          <w:numId w:val="3"/>
        </w:numPr>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一般公共服务支出：</w:t>
      </w:r>
    </w:p>
    <w:p>
      <w:pPr>
        <w:pStyle w:val="9"/>
        <w:ind w:firstLine="1600" w:firstLineChars="5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行政运行：201类03款01项年初预算为209.4万元，支出决算为426.6万元，完成年初预算的203%，决算数大于年初预算的原因是由于改制企业一些退休职工医保门诊费及改制企业的解困资金未纳入年初预算。</w:t>
      </w:r>
    </w:p>
    <w:p>
      <w:pPr>
        <w:pStyle w:val="9"/>
        <w:ind w:firstLine="1600" w:firstLineChars="5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一般行政管理事务：201类03款02项年初预算为68.1万元，支出决算为21.6万元，完成年初预算的31.7%，决算数小于年初预算的原因是人员支出减少。</w:t>
      </w:r>
    </w:p>
    <w:p>
      <w:pPr>
        <w:pStyle w:val="9"/>
        <w:numPr>
          <w:ilvl w:val="0"/>
          <w:numId w:val="3"/>
        </w:numPr>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社会保障和就业支出：</w:t>
      </w:r>
    </w:p>
    <w:p>
      <w:pPr>
        <w:pStyle w:val="9"/>
        <w:ind w:left="420" w:leftChars="200"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归口管理的行政单位离退休208（类）05（款）01（项）。</w:t>
      </w:r>
    </w:p>
    <w:p>
      <w:pPr>
        <w:pStyle w:val="9"/>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初预算为21.8万元，支出决算为1.23万元，完成年初预算的0.056%，决算数小于于年初预算数的主要原因是：本应企业退休负责人工资由我单位发放，年初预算纳入但已由财政直接支付。</w:t>
      </w:r>
    </w:p>
    <w:p>
      <w:pPr>
        <w:pStyle w:val="9"/>
        <w:ind w:firstLine="960" w:firstLineChars="3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企业改革补助：企业关闭破产补助支出208（类）06（款）01（项）。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年初预算为29.2万元，支出决算为136.9万元，完成年初预算的468%，决算数大于年初预算数的主要原因是：改制企业电子公司拍卖佣金及相关费用年初未做预算。</w:t>
      </w:r>
    </w:p>
    <w:p>
      <w:pPr>
        <w:pStyle w:val="9"/>
        <w:numPr>
          <w:ilvl w:val="0"/>
          <w:numId w:val="3"/>
        </w:numPr>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其他社会保障和就业支出：</w:t>
      </w:r>
    </w:p>
    <w:p>
      <w:pPr>
        <w:pStyle w:val="9"/>
        <w:ind w:left="420" w:leftChars="200"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其他社会保障和就业支出：208（类）99（款）01（项）。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年初预算为0万元，支出决算为1.3万元，完成年初预算的:130%，决算数大于年初预算数的主要原因是：本单位今年有几人在职转退休。</w:t>
      </w:r>
    </w:p>
    <w:p>
      <w:pPr>
        <w:pStyle w:val="9"/>
        <w:numPr>
          <w:ilvl w:val="0"/>
          <w:numId w:val="3"/>
        </w:numPr>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资源勘探信息等支出：</w:t>
      </w:r>
    </w:p>
    <w:p>
      <w:pPr>
        <w:pStyle w:val="9"/>
        <w:ind w:left="420" w:leftChars="200" w:firstLine="960" w:firstLineChars="3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工业和信息产业监管：215（类）05（款）99（项）。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年初预算为0万元，支出决算为5万元，完成年初预算的500%，决算数大于年初预算数的主要原因是：上级追加的工作经费。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 xml:space="preserve">   支持中小企业发展和管理支出：215（类）08（款）99（项）。</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年初预算为0万元，支出决算为23万元，完成年初预算的230%。</w:t>
      </w:r>
    </w:p>
    <w:p>
      <w:pPr>
        <w:pStyle w:val="9"/>
        <w:ind w:firstLine="640" w:firstLineChars="200"/>
        <w:rPr>
          <w:rFonts w:asciiTheme="minorEastAsia" w:hAnsiTheme="minorEastAsia" w:eastAsiaTheme="minorEastAsia"/>
          <w:color w:val="auto"/>
          <w:sz w:val="32"/>
          <w:szCs w:val="32"/>
        </w:rPr>
      </w:pPr>
      <w:r>
        <w:rPr>
          <w:rFonts w:hint="eastAsia" w:asciiTheme="minorEastAsia" w:hAnsiTheme="minorEastAsia" w:eastAsiaTheme="minorEastAsia"/>
          <w:color w:val="auto"/>
          <w:sz w:val="32"/>
          <w:szCs w:val="32"/>
        </w:rPr>
        <w:t>决算数大于年初预算数的主要原因是：上级追加的工作经费。</w:t>
      </w:r>
    </w:p>
    <w:p>
      <w:pPr>
        <w:pStyle w:val="9"/>
        <w:ind w:firstLine="640" w:firstLineChars="200"/>
        <w:rPr>
          <w:rFonts w:asciiTheme="minorEastAsia" w:hAnsiTheme="minorEastAsia" w:eastAsiaTheme="minorEastAsia"/>
          <w:color w:val="auto"/>
          <w:sz w:val="32"/>
          <w:szCs w:val="32"/>
        </w:rPr>
      </w:pPr>
    </w:p>
    <w:p>
      <w:pPr>
        <w:pStyle w:val="9"/>
        <w:rPr>
          <w:rFonts w:hAnsi="黑体"/>
          <w:b/>
          <w:sz w:val="32"/>
          <w:szCs w:val="32"/>
        </w:rPr>
      </w:pPr>
      <w:r>
        <w:rPr>
          <w:rFonts w:hint="eastAsia" w:hAnsi="黑体"/>
          <w:b/>
          <w:sz w:val="32"/>
          <w:szCs w:val="32"/>
        </w:rPr>
        <w:t>六、一般公共预算财政拨款基本支出决算情况说明</w:t>
      </w:r>
    </w:p>
    <w:p>
      <w:pPr>
        <w:pStyle w:val="9"/>
        <w:ind w:firstLine="640" w:firstLineChars="200"/>
        <w:rPr>
          <w:rFonts w:asciiTheme="minorEastAsia" w:hAnsiTheme="minorEastAsia" w:eastAsiaTheme="minorEastAsia"/>
          <w:sz w:val="32"/>
          <w:szCs w:val="32"/>
        </w:rPr>
      </w:pPr>
      <w:r>
        <w:rPr>
          <w:rFonts w:hint="eastAsia" w:asciiTheme="minorEastAsia" w:hAnsiTheme="minorEastAsia" w:eastAsiaTheme="minorEastAsia"/>
          <w:sz w:val="32"/>
          <w:szCs w:val="32"/>
        </w:rPr>
        <w:t>2019年度财政拨款基本支出615.7</w:t>
      </w:r>
      <w:r>
        <w:rPr>
          <w:rFonts w:hint="eastAsia" w:asciiTheme="minorEastAsia" w:hAnsiTheme="minorEastAsia" w:eastAsiaTheme="minorEastAsia"/>
          <w:sz w:val="32"/>
          <w:szCs w:val="32"/>
          <w:lang w:val="en-US" w:eastAsia="zh-CN"/>
        </w:rPr>
        <w:t>8</w:t>
      </w:r>
      <w:r>
        <w:rPr>
          <w:rFonts w:hint="eastAsia" w:asciiTheme="minorEastAsia" w:hAnsiTheme="minorEastAsia" w:eastAsiaTheme="minorEastAsia"/>
          <w:sz w:val="32"/>
          <w:szCs w:val="32"/>
        </w:rPr>
        <w:t>万元，其中：人员经费518.98万元，占基本支出的84.2%,主要包括基本工资、津贴补贴、奖金、伙食补助费、机关事业单位基本养老保险费、职工基本医疗保险缴费、其他社会保障缴费、住房公积金、其他工资福利支出、离休费、抚恤金、生活补助、医疗费补助、奖励金、其他对个人和家庭的补助；公用经费96.81万元，占基本支出的15.8%，主要包括办公费、印刷费、手续费、水费、电费、邮电费、差旅费、工会经费、福利费、其他商品和服务支出。</w:t>
      </w:r>
    </w:p>
    <w:p>
      <w:pPr>
        <w:pStyle w:val="9"/>
        <w:rPr>
          <w:rFonts w:hAnsi="黑体"/>
          <w:b/>
          <w:sz w:val="32"/>
          <w:szCs w:val="32"/>
        </w:rPr>
      </w:pPr>
      <w:r>
        <w:rPr>
          <w:rFonts w:hint="eastAsia" w:hAnsi="黑体"/>
          <w:b/>
          <w:sz w:val="32"/>
          <w:szCs w:val="32"/>
        </w:rPr>
        <w:t>七、一般公共预算财政拨款三公经费支出决算情况说明</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FF0000"/>
          <w:sz w:val="32"/>
          <w:szCs w:val="32"/>
        </w:rPr>
        <w:t>（</w:t>
      </w:r>
      <w:r>
        <w:rPr>
          <w:rFonts w:hint="eastAsia" w:asciiTheme="minorEastAsia" w:hAnsiTheme="minorEastAsia" w:eastAsiaTheme="minorEastAsia"/>
          <w:b/>
          <w:color w:val="000000" w:themeColor="text1"/>
          <w:sz w:val="32"/>
          <w:szCs w:val="32"/>
        </w:rPr>
        <w:t>一）“三公”经费财政拨款支出决算总体情况说明</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“三公”经费财政拨款支出预算为4.5万元，支出决算为0万元，完成预算的0%，其中：</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因公出国（境）费支出预算为0万元，支出决算为0万元，完成预算的0%。</w:t>
      </w:r>
    </w:p>
    <w:p>
      <w:pPr>
        <w:pStyle w:val="9"/>
        <w:ind w:firstLine="800" w:firstLineChars="25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公务接待费支出预算为0.5万元，支出决算为0万元，完成预算的0%，决算数小于年初预算数的主要原因是本单位厉行节约，零招待费，与上年相比无增减0万元，无公务接待的主要原因是本单位例行节约。</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公务用车购置费及运行维护费支出预算为4万元，支出决算为0万元，完成预算的0%，决算数小于年初预算数的主要原因是本单位厉行节约，与上年相比持平,主要原因是本单位厉行节约。</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b/>
          <w:color w:val="000000" w:themeColor="text1"/>
          <w:sz w:val="32"/>
          <w:szCs w:val="32"/>
        </w:rPr>
        <w:t>（二）“三公”经费财政拨款支出决算具体情况说明</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2019年度“三公”经费财政拨款支出决算中，公务接待费支出决算0万元，占0%,因公出国（境）费支出决算0万元，占0%,公务用车购置费及运行维护费支出决算0万元，占0%。其中：</w:t>
      </w:r>
    </w:p>
    <w:p>
      <w:pPr>
        <w:pStyle w:val="9"/>
        <w:ind w:firstLine="640" w:firstLineChars="200"/>
        <w:rPr>
          <w:rFonts w:asciiTheme="minorEastAsia" w:hAnsiTheme="minorEastAsia" w:eastAsiaTheme="minorEastAsia"/>
          <w:b/>
          <w:color w:val="000000" w:themeColor="text1"/>
          <w:sz w:val="32"/>
          <w:szCs w:val="32"/>
        </w:rPr>
      </w:pPr>
      <w:r>
        <w:rPr>
          <w:rFonts w:hint="eastAsia" w:asciiTheme="minorEastAsia" w:hAnsiTheme="minorEastAsia" w:eastAsiaTheme="minorEastAsia"/>
          <w:color w:val="000000" w:themeColor="text1"/>
          <w:sz w:val="32"/>
          <w:szCs w:val="32"/>
        </w:rPr>
        <w:t>1、因公出国（境）费支出决算为0万元，全年安排因公出国（境）团组0个，累计0人次,开支内容包括：</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2、公务接待费支出决算为0万元，全年共接待来访团组0个、来宾0人次，主要是没有发生接待支出。</w:t>
      </w:r>
    </w:p>
    <w:p>
      <w:pPr>
        <w:ind w:firstLine="800" w:firstLineChars="250"/>
        <w:rPr>
          <w:rFonts w:cs="黑体" w:asciiTheme="minorEastAsia" w:hAnsiTheme="minorEastAsia"/>
          <w:color w:val="000000" w:themeColor="text1"/>
          <w:kern w:val="0"/>
          <w:sz w:val="32"/>
          <w:szCs w:val="32"/>
        </w:rPr>
      </w:pPr>
      <w:r>
        <w:rPr>
          <w:rFonts w:hint="eastAsia" w:asciiTheme="minorEastAsia" w:hAnsiTheme="minorEastAsia"/>
          <w:color w:val="000000" w:themeColor="text1"/>
          <w:sz w:val="32"/>
          <w:szCs w:val="32"/>
        </w:rPr>
        <w:t>3、公务用车购置费及运行维护费支出决算为0万元，其中：公务用车购置费0万元，更新公务用车0辆。公务用车运行维护费0万元，截止2019年12月31日，我单位开支财政拨款的公务用车保有量为0辆。</w:t>
      </w:r>
    </w:p>
    <w:p>
      <w:pPr>
        <w:pStyle w:val="9"/>
        <w:rPr>
          <w:rFonts w:hAnsi="黑体"/>
          <w:b/>
          <w:color w:val="000000" w:themeColor="text1"/>
          <w:sz w:val="32"/>
          <w:szCs w:val="32"/>
        </w:rPr>
      </w:pPr>
      <w:r>
        <w:rPr>
          <w:rFonts w:hint="eastAsia" w:hAnsi="黑体"/>
          <w:b/>
          <w:color w:val="000000" w:themeColor="text1"/>
          <w:sz w:val="32"/>
          <w:szCs w:val="32"/>
        </w:rPr>
        <w:t>八、政府性基金预算收入支出决算情况</w:t>
      </w:r>
    </w:p>
    <w:p>
      <w:pPr>
        <w:pStyle w:val="9"/>
        <w:ind w:firstLine="640" w:firstLineChars="200"/>
        <w:rPr>
          <w:rFonts w:asciiTheme="minorEastAsia" w:hAnsiTheme="minorEastAsia" w:eastAsiaTheme="minorEastAsia"/>
          <w:color w:val="000000" w:themeColor="text1"/>
          <w:sz w:val="32"/>
          <w:szCs w:val="32"/>
        </w:rPr>
      </w:pPr>
      <w:r>
        <w:rPr>
          <w:rFonts w:hint="eastAsia" w:asciiTheme="minorEastAsia" w:hAnsiTheme="minorEastAsia" w:eastAsiaTheme="minorEastAsia"/>
          <w:color w:val="000000" w:themeColor="text1"/>
          <w:sz w:val="32"/>
          <w:szCs w:val="32"/>
        </w:rPr>
        <w:t>2019年度政府性基金预算财政拨款收入0万元；年初结转和结余0万元；支出0万元，其中基本支出0万元，项目支出0万元；年末结转和结余0万元。</w:t>
      </w:r>
    </w:p>
    <w:p>
      <w:pPr>
        <w:pStyle w:val="9"/>
        <w:rPr>
          <w:rFonts w:asciiTheme="minorEastAsia" w:hAnsiTheme="minorEastAsia" w:eastAsiaTheme="minorEastAsia"/>
          <w:i/>
          <w:color w:val="000000" w:themeColor="text1"/>
          <w:sz w:val="32"/>
          <w:szCs w:val="32"/>
        </w:rPr>
      </w:pPr>
      <w:r>
        <w:rPr>
          <w:rFonts w:hint="eastAsia" w:asciiTheme="minorEastAsia" w:hAnsiTheme="minorEastAsia" w:eastAsiaTheme="minorEastAsia"/>
          <w:color w:val="000000" w:themeColor="text1"/>
          <w:sz w:val="32"/>
          <w:szCs w:val="32"/>
        </w:rPr>
        <w:t xml:space="preserve">    本单位无政府性基金。</w:t>
      </w:r>
    </w:p>
    <w:p>
      <w:pPr>
        <w:pStyle w:val="9"/>
        <w:rPr>
          <w:rFonts w:hAnsi="黑体"/>
          <w:b/>
          <w:sz w:val="32"/>
          <w:szCs w:val="32"/>
        </w:rPr>
      </w:pPr>
      <w:r>
        <w:rPr>
          <w:rFonts w:hint="eastAsia" w:hAnsi="黑体"/>
          <w:b/>
          <w:sz w:val="32"/>
          <w:szCs w:val="32"/>
        </w:rPr>
        <w:t>九、关于2019年度预算绩效情况说明</w:t>
      </w:r>
    </w:p>
    <w:p>
      <w:pPr>
        <w:pStyle w:val="9"/>
        <w:ind w:firstLine="800" w:firstLineChars="250"/>
        <w:rPr>
          <w:rFonts w:asciiTheme="minorEastAsia" w:hAnsiTheme="minorEastAsia" w:eastAsiaTheme="minorEastAsia"/>
          <w:sz w:val="32"/>
          <w:szCs w:val="32"/>
        </w:rPr>
      </w:pPr>
      <w:r>
        <w:rPr>
          <w:rFonts w:hint="eastAsia" w:asciiTheme="minorEastAsia" w:hAnsiTheme="minorEastAsia" w:eastAsiaTheme="minorEastAsia"/>
          <w:sz w:val="32"/>
          <w:szCs w:val="32"/>
        </w:rPr>
        <w:t>本部门预算绩效管理开展情况、绩效目标和绩效评价报告附后。</w:t>
      </w:r>
    </w:p>
    <w:p>
      <w:pPr>
        <w:pStyle w:val="9"/>
        <w:rPr>
          <w:rFonts w:hAnsi="黑体"/>
          <w:b/>
          <w:sz w:val="32"/>
          <w:szCs w:val="32"/>
        </w:rPr>
      </w:pPr>
      <w:r>
        <w:rPr>
          <w:rFonts w:hint="eastAsia" w:hAnsi="黑体"/>
          <w:b/>
          <w:sz w:val="32"/>
          <w:szCs w:val="32"/>
        </w:rPr>
        <w:t>十、其他重要事项情况说明</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（一）机关运行经费支出情况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本部门2019 年度机关运行经费支出96.</w:t>
      </w:r>
      <w:r>
        <w:rPr>
          <w:rFonts w:hint="eastAsia" w:cs="黑体" w:asciiTheme="minorEastAsia" w:hAnsiTheme="minorEastAsia"/>
          <w:color w:val="000000"/>
          <w:kern w:val="0"/>
          <w:sz w:val="32"/>
          <w:szCs w:val="32"/>
          <w:lang w:val="en-US" w:eastAsia="zh-CN"/>
        </w:rPr>
        <w:t>81</w:t>
      </w:r>
      <w:r>
        <w:rPr>
          <w:rFonts w:hint="eastAsia" w:cs="黑体" w:asciiTheme="minorEastAsia" w:hAnsiTheme="minorEastAsia"/>
          <w:color w:val="000000"/>
          <w:kern w:val="0"/>
          <w:sz w:val="32"/>
          <w:szCs w:val="32"/>
        </w:rPr>
        <w:t>万元，比年初预算数减少11.1万元，降低11.4%。主要原因是：本单位例行节约，严格控制机关运行经费。</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（二）一般性支出情况</w:t>
      </w:r>
    </w:p>
    <w:p>
      <w:pPr>
        <w:ind w:firstLine="640" w:firstLineChars="200"/>
        <w:rPr>
          <w:rFonts w:cs="黑体" w:asciiTheme="minorEastAsia" w:hAnsiTheme="minorEastAsia"/>
          <w:color w:val="000000"/>
          <w:kern w:val="0"/>
          <w:sz w:val="32"/>
          <w:szCs w:val="32"/>
        </w:rPr>
      </w:pPr>
      <w:r>
        <w:rPr>
          <w:rFonts w:hint="eastAsia" w:cs="黑体" w:asciiTheme="minorEastAsia" w:hAnsiTheme="minorEastAsia"/>
          <w:color w:val="000000"/>
          <w:kern w:val="0"/>
          <w:sz w:val="32"/>
          <w:szCs w:val="32"/>
        </w:rPr>
        <w:t>2019年本部门开支会议费0万元，无会议召开</w:t>
      </w:r>
      <w:bookmarkStart w:id="0" w:name="_GoBack"/>
      <w:bookmarkEnd w:id="0"/>
      <w:r>
        <w:rPr>
          <w:rFonts w:hint="eastAsia" w:cs="黑体" w:asciiTheme="minorEastAsia" w:hAnsiTheme="minorEastAsia"/>
          <w:color w:val="000000"/>
          <w:kern w:val="0"/>
          <w:sz w:val="32"/>
          <w:szCs w:val="32"/>
        </w:rPr>
        <w:t>，人数0人，开支培训费0万元，没有开展培训，人数0人，无举办节庆、晚会、论坛、赛事活动，开支0万元。</w:t>
      </w:r>
    </w:p>
    <w:p>
      <w:pPr>
        <w:ind w:firstLine="640" w:firstLineChars="20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（三）政府采购支出情况</w:t>
      </w:r>
    </w:p>
    <w:p>
      <w:pPr>
        <w:ind w:firstLine="640" w:firstLineChars="200"/>
        <w:rPr>
          <w:rFonts w:cs="黑体" w:asciiTheme="minorEastAsia" w:hAnsiTheme="minorEastAsia"/>
          <w:i/>
          <w:kern w:val="0"/>
          <w:sz w:val="32"/>
          <w:szCs w:val="32"/>
        </w:rPr>
      </w:pPr>
      <w:r>
        <w:rPr>
          <w:rFonts w:hint="eastAsia" w:cs="黑体" w:asciiTheme="minorEastAsia" w:hAnsiTheme="minorEastAsia"/>
          <w:kern w:val="0"/>
          <w:sz w:val="32"/>
          <w:szCs w:val="32"/>
        </w:rPr>
        <w:t>本部门2019年度政府采购支出总额0万元，其中：政府采购货物支出0万元、政府采购工程支出0万元、政府采购服务支出0万元。授予中小企业合同金额0万元，占政府采购支出总额的0%，其中：授予小微企业合同金额0万元，占政府采购支出总额的0%。</w:t>
      </w:r>
    </w:p>
    <w:p>
      <w:pPr>
        <w:ind w:firstLine="480" w:firstLineChars="150"/>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（四）国有资产占用情况</w:t>
      </w:r>
    </w:p>
    <w:p>
      <w:pPr>
        <w:ind w:firstLine="640" w:firstLineChars="200"/>
        <w:rPr>
          <w:rFonts w:cs="黑体" w:asciiTheme="minorEastAsia" w:hAnsiTheme="minorEastAsia"/>
          <w:color w:val="000000" w:themeColor="text1"/>
          <w:kern w:val="0"/>
          <w:sz w:val="32"/>
          <w:szCs w:val="32"/>
        </w:rPr>
      </w:pPr>
      <w:r>
        <w:rPr>
          <w:rFonts w:hint="eastAsia" w:cs="黑体" w:asciiTheme="minorEastAsia" w:hAnsiTheme="minorEastAsia"/>
          <w:color w:val="000000" w:themeColor="text1"/>
          <w:kern w:val="0"/>
          <w:sz w:val="32"/>
          <w:szCs w:val="32"/>
        </w:rPr>
        <w:t>截至2019年12月31日，本单位共有车辆0辆，其中，领导干部用车0辆、机要通信用车0辆、应急保障用车0辆、执法执勤用车0辆、特种专业技术用车0辆、其他用车0辆，单位价值50万元以上通用设备0台（套）；单位价值100万元以上专用设备0台（套）。</w:t>
      </w:r>
    </w:p>
    <w:p>
      <w:pPr>
        <w:widowControl/>
        <w:jc w:val="left"/>
        <w:rPr>
          <w:rFonts w:cs="黑体" w:asciiTheme="minorEastAsia" w:hAnsiTheme="minorEastAsia"/>
          <w:color w:val="FF0000"/>
          <w:kern w:val="0"/>
          <w:sz w:val="32"/>
          <w:szCs w:val="32"/>
        </w:rPr>
      </w:pPr>
      <w:r>
        <w:rPr>
          <w:rFonts w:cs="黑体" w:asciiTheme="minorEastAsia" w:hAnsiTheme="minorEastAsia"/>
          <w:color w:val="FF0000"/>
          <w:kern w:val="0"/>
          <w:sz w:val="32"/>
          <w:szCs w:val="32"/>
        </w:rPr>
        <w:br w:type="page"/>
      </w:r>
    </w:p>
    <w:p>
      <w:pPr>
        <w:ind w:firstLine="640" w:firstLineChars="200"/>
        <w:rPr>
          <w:rFonts w:cs="黑体" w:asciiTheme="minorEastAsia" w:hAnsiTheme="minorEastAsia"/>
          <w:color w:val="000000"/>
          <w:kern w:val="0"/>
          <w:sz w:val="32"/>
          <w:szCs w:val="3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第四部分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名词解释</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ind w:firstLine="640" w:firstLineChars="200"/>
        <w:jc w:val="left"/>
        <w:rPr>
          <w:rFonts w:cs="黑体" w:asciiTheme="minorEastAsia" w:hAnsiTheme="minorEastAsia"/>
          <w:color w:val="000000"/>
          <w:kern w:val="0"/>
          <w:sz w:val="32"/>
          <w:szCs w:val="32"/>
        </w:rPr>
      </w:pPr>
    </w:p>
    <w:p>
      <w:pPr>
        <w:spacing w:line="600" w:lineRule="exact"/>
        <w:ind w:firstLine="640" w:firstLineChars="200"/>
        <w:rPr>
          <w:rFonts w:ascii="Calibri" w:hAnsi="Calibri" w:eastAsia="仿宋_GB2312" w:cs="宋体"/>
          <w:kern w:val="0"/>
          <w:sz w:val="32"/>
          <w:szCs w:val="32"/>
        </w:rPr>
      </w:pPr>
      <w:r>
        <w:rPr>
          <w:rFonts w:hint="eastAsia" w:eastAsia="仿宋_GB2312"/>
          <w:kern w:val="0"/>
          <w:sz w:val="32"/>
          <w:szCs w:val="32"/>
        </w:rPr>
        <w:t>一、机关运行经费：为保障行政单位（包括参照公务员法管理的事业单位）运行，用一般公共预算拨款安排，用于购买货物和服务的各项资金，包括办公及印刷费、邮电费、差旅费、会议费、福利费、日常维修费、办公用房水电费、办公用房取暖费、办公用房物业管理费、公务用车运行维护费以及其他费用，即为行政单位和参照公务员法管理事业单位一般公共预算财政拨款基本支出中的公用经费支出。</w:t>
      </w:r>
    </w:p>
    <w:p>
      <w:pPr>
        <w:spacing w:line="600" w:lineRule="exact"/>
        <w:ind w:firstLine="640" w:firstLineChars="200"/>
        <w:rPr>
          <w:rFonts w:eastAsia="仿宋_GB2312"/>
          <w:kern w:val="0"/>
          <w:sz w:val="32"/>
          <w:szCs w:val="32"/>
        </w:rPr>
      </w:pPr>
      <w:r>
        <w:rPr>
          <w:rFonts w:hint="eastAsia" w:eastAsia="仿宋_GB2312"/>
          <w:kern w:val="0"/>
          <w:sz w:val="32"/>
          <w:szCs w:val="32"/>
        </w:rPr>
        <w:t>二、</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经费：纳入财政预算管理的</w:t>
      </w:r>
      <w:r>
        <w:rPr>
          <w:rFonts w:eastAsia="仿宋_GB2312"/>
          <w:kern w:val="0"/>
          <w:sz w:val="32"/>
          <w:szCs w:val="32"/>
        </w:rPr>
        <w:t>“</w:t>
      </w:r>
      <w:r>
        <w:rPr>
          <w:rFonts w:hint="eastAsia" w:eastAsia="仿宋_GB2312"/>
          <w:kern w:val="0"/>
          <w:sz w:val="32"/>
          <w:szCs w:val="32"/>
        </w:rPr>
        <w:t>三公</w:t>
      </w:r>
      <w:r>
        <w:rPr>
          <w:rFonts w:eastAsia="仿宋_GB2312"/>
          <w:kern w:val="0"/>
          <w:sz w:val="32"/>
          <w:szCs w:val="32"/>
        </w:rPr>
        <w:t>“</w:t>
      </w:r>
      <w:r>
        <w:rPr>
          <w:rFonts w:hint="eastAsia" w:eastAsia="仿宋_GB2312"/>
          <w:kern w:val="0"/>
          <w:sz w:val="32"/>
          <w:szCs w:val="32"/>
        </w:rPr>
        <w:t>经费，是指用一般公共预算拨款安排的公务接待费、公务用车购置及运行维护费和因公出国（境）费。其中，公务接待费反映单位按规定开支的各类公务接待支出；公务用车购置及运行费反映单位公务用车车辆购置支出（含车辆购置税），以及燃料费、维修费、保险费等支出；因公出国（境）费反映单位公务出国（境）的国际旅费、国外城市间交通费、食宿费等支出。</w:t>
      </w:r>
    </w:p>
    <w:p>
      <w:pPr>
        <w:widowControl/>
        <w:spacing w:line="600" w:lineRule="exact"/>
        <w:rPr>
          <w:rFonts w:ascii="Times New Roman" w:hAnsi="Times New Roman" w:eastAsia="黑体" w:cs="Times New Roman"/>
          <w:bCs/>
          <w:kern w:val="0"/>
          <w:sz w:val="32"/>
          <w:szCs w:val="32"/>
        </w:rPr>
      </w:pPr>
    </w:p>
    <w:p>
      <w:pPr>
        <w:widowControl/>
        <w:jc w:val="left"/>
        <w:rPr>
          <w:rFonts w:asciiTheme="minorEastAsia" w:hAnsiTheme="minorEastAsia"/>
          <w:i/>
          <w:color w:val="FF0000"/>
          <w:sz w:val="32"/>
          <w:szCs w:val="32"/>
        </w:rPr>
      </w:pPr>
      <w:r>
        <w:rPr>
          <w:rFonts w:asciiTheme="minorEastAsia" w:hAnsiTheme="minorEastAsia"/>
          <w:i/>
          <w:color w:val="FF0000"/>
          <w:sz w:val="32"/>
          <w:szCs w:val="32"/>
        </w:rPr>
        <w:br w:type="page"/>
      </w: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p>
    <w:p>
      <w:pPr>
        <w:pStyle w:val="9"/>
        <w:jc w:val="center"/>
        <w:rPr>
          <w:sz w:val="72"/>
          <w:szCs w:val="72"/>
        </w:rPr>
      </w:pPr>
      <w:r>
        <w:rPr>
          <w:rFonts w:hint="eastAsia"/>
          <w:sz w:val="72"/>
          <w:szCs w:val="72"/>
        </w:rPr>
        <w:t>第五部分</w:t>
      </w:r>
    </w:p>
    <w:p>
      <w:pPr>
        <w:jc w:val="center"/>
        <w:rPr>
          <w:rFonts w:ascii="黑体" w:eastAsia="黑体" w:cs="黑体"/>
          <w:color w:val="000000"/>
          <w:kern w:val="0"/>
          <w:sz w:val="70"/>
          <w:szCs w:val="70"/>
        </w:rPr>
      </w:pPr>
    </w:p>
    <w:p>
      <w:pPr>
        <w:jc w:val="center"/>
        <w:rPr>
          <w:rFonts w:ascii="黑体" w:eastAsia="黑体" w:cs="黑体"/>
          <w:color w:val="000000"/>
          <w:kern w:val="0"/>
          <w:sz w:val="70"/>
          <w:szCs w:val="70"/>
        </w:rPr>
      </w:pPr>
      <w:r>
        <w:rPr>
          <w:rFonts w:hint="eastAsia" w:ascii="黑体" w:eastAsia="黑体" w:cs="黑体"/>
          <w:color w:val="000000"/>
          <w:kern w:val="0"/>
          <w:sz w:val="70"/>
          <w:szCs w:val="70"/>
        </w:rPr>
        <w:t>附件</w:t>
      </w:r>
    </w:p>
    <w:p>
      <w:pPr>
        <w:widowControl/>
        <w:jc w:val="left"/>
        <w:rPr>
          <w:rFonts w:ascii="黑体" w:eastAsia="黑体" w:cs="黑体"/>
          <w:color w:val="000000"/>
          <w:kern w:val="0"/>
          <w:sz w:val="70"/>
          <w:szCs w:val="70"/>
        </w:rPr>
      </w:pPr>
      <w:r>
        <w:rPr>
          <w:rFonts w:ascii="黑体" w:eastAsia="黑体" w:cs="黑体"/>
          <w:color w:val="000000"/>
          <w:kern w:val="0"/>
          <w:sz w:val="70"/>
          <w:szCs w:val="70"/>
        </w:rPr>
        <w:br w:type="page"/>
      </w:r>
    </w:p>
    <w:p>
      <w:pPr>
        <w:jc w:val="center"/>
        <w:rPr>
          <w:rFonts w:ascii="黑体" w:eastAsia="黑体" w:cs="黑体"/>
          <w:color w:val="000000"/>
          <w:kern w:val="0"/>
          <w:sz w:val="70"/>
          <w:szCs w:val="70"/>
        </w:rPr>
      </w:pPr>
    </w:p>
    <w:p>
      <w:pPr>
        <w:ind w:firstLine="640" w:firstLineChars="200"/>
        <w:jc w:val="center"/>
        <w:rPr>
          <w:rFonts w:cs="黑体" w:asciiTheme="minorEastAsia" w:hAnsiTheme="minorEastAsia"/>
          <w:b/>
          <w:color w:val="000000"/>
          <w:kern w:val="0"/>
          <w:sz w:val="32"/>
          <w:szCs w:val="32"/>
        </w:rPr>
      </w:pPr>
      <w:r>
        <w:rPr>
          <w:rFonts w:hint="eastAsia" w:cs="黑体" w:asciiTheme="minorEastAsia" w:hAnsiTheme="minorEastAsia"/>
          <w:b/>
          <w:color w:val="000000"/>
          <w:kern w:val="0"/>
          <w:sz w:val="32"/>
          <w:szCs w:val="32"/>
        </w:rPr>
        <w:t>2019年度部门整体支出绩效评价报告</w:t>
      </w:r>
    </w:p>
    <w:p>
      <w:pPr>
        <w:ind w:firstLine="640" w:firstLineChars="200"/>
        <w:jc w:val="center"/>
        <w:rPr>
          <w:rFonts w:cs="黑体" w:asciiTheme="minorEastAsia" w:hAnsiTheme="minorEastAsia"/>
          <w:b/>
          <w:color w:val="000000"/>
          <w:kern w:val="0"/>
          <w:sz w:val="32"/>
          <w:szCs w:val="32"/>
        </w:rPr>
      </w:pPr>
    </w:p>
    <w:p>
      <w:pPr>
        <w:ind w:firstLine="640" w:firstLineChars="200"/>
        <w:rPr>
          <w:rFonts w:cs="宋体" w:asciiTheme="minorEastAsia" w:hAnsiTheme="minorEastAsia"/>
          <w:b/>
          <w:sz w:val="32"/>
          <w:szCs w:val="32"/>
        </w:rPr>
      </w:pPr>
      <w:r>
        <w:rPr>
          <w:rFonts w:hint="eastAsia" w:cs="宋体" w:asciiTheme="minorEastAsia" w:hAnsiTheme="minorEastAsia"/>
          <w:b/>
          <w:sz w:val="32"/>
          <w:szCs w:val="32"/>
        </w:rPr>
        <w:t>一、部门职能职责：</w:t>
      </w:r>
    </w:p>
    <w:p>
      <w:pPr>
        <w:spacing w:line="500" w:lineRule="exact"/>
        <w:ind w:firstLine="1280" w:firstLineChars="400"/>
        <w:jc w:val="left"/>
        <w:rPr>
          <w:rFonts w:asciiTheme="minorEastAsia" w:hAnsiTheme="minorEastAsia" w:cstheme="minorEastAsia"/>
          <w:color w:val="FF0000"/>
          <w:sz w:val="32"/>
          <w:szCs w:val="32"/>
        </w:rPr>
      </w:pPr>
      <w:r>
        <w:rPr>
          <w:rFonts w:hint="eastAsia" w:asciiTheme="minorEastAsia" w:hAnsiTheme="minorEastAsia" w:cstheme="minorEastAsia"/>
          <w:sz w:val="32"/>
          <w:szCs w:val="32"/>
        </w:rPr>
        <w:t>1、怀化市鹤城区工业和信息化局作为一级部门预算单位，内设6个股室，分别为：办公室、经济运行股、信息产业股、人事股、财务室、投资规划股。</w:t>
      </w:r>
    </w:p>
    <w:p>
      <w:pPr>
        <w:ind w:firstLine="640" w:firstLineChars="200"/>
        <w:rPr>
          <w:rFonts w:asciiTheme="minorEastAsia" w:hAnsiTheme="minorEastAsia" w:cstheme="minorEastAsia"/>
          <w:sz w:val="32"/>
          <w:szCs w:val="32"/>
        </w:rPr>
      </w:pPr>
      <w:r>
        <w:rPr>
          <w:rFonts w:hint="eastAsia" w:asciiTheme="minorEastAsia" w:hAnsiTheme="minorEastAsia" w:cstheme="minorEastAsia"/>
          <w:sz w:val="32"/>
          <w:szCs w:val="32"/>
        </w:rPr>
        <w:t xml:space="preserve">   2、主要工作职责：鹤城区工业和信息化局是全额拨款的行政单位，具体负责拟订全区工业经济和信息化发展规划、政策并组织实施；推进信息化和工业化融合，协调解决新型工业化进程中的重大问题；参与制定全区经济发展战略目标及中长期规划。编制并组织实施近期经济运行调控目标，监测、分析全区经济运行态势，负责收集、整理和发布全区工业经济、信息产业统计及行业信息。</w:t>
      </w:r>
    </w:p>
    <w:p>
      <w:pPr>
        <w:ind w:firstLine="1280" w:firstLineChars="400"/>
        <w:rPr>
          <w:rFonts w:asciiTheme="minorEastAsia" w:hAnsiTheme="minorEastAsia" w:cstheme="minorEastAsia"/>
          <w:b/>
          <w:sz w:val="32"/>
          <w:szCs w:val="32"/>
        </w:rPr>
      </w:pPr>
      <w:r>
        <w:rPr>
          <w:rFonts w:hint="eastAsia" w:asciiTheme="minorEastAsia" w:hAnsiTheme="minorEastAsia" w:cstheme="minorEastAsia"/>
          <w:sz w:val="32"/>
          <w:szCs w:val="32"/>
        </w:rPr>
        <w:t>3、编制人员情况:现实有在职人员24人（全额拨款），离退休人员63人(其中财政拨款61人，自收自支2人），遗属人员1人。</w:t>
      </w:r>
    </w:p>
    <w:p>
      <w:pPr>
        <w:rPr>
          <w:rFonts w:cs="宋体" w:asciiTheme="minorEastAsia" w:hAnsiTheme="minorEastAsia"/>
          <w:b/>
          <w:sz w:val="32"/>
          <w:szCs w:val="32"/>
        </w:rPr>
      </w:pPr>
      <w:r>
        <w:rPr>
          <w:rFonts w:hint="eastAsia" w:cs="宋体" w:asciiTheme="minorEastAsia" w:hAnsiTheme="minorEastAsia"/>
          <w:b/>
          <w:sz w:val="32"/>
          <w:szCs w:val="32"/>
        </w:rPr>
        <w:t>二、部门收支情况：</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1、收入说明：2019年总收入为688.5万元。</w:t>
      </w:r>
    </w:p>
    <w:p>
      <w:pPr>
        <w:ind w:firstLine="640" w:firstLineChars="200"/>
        <w:jc w:val="left"/>
        <w:rPr>
          <w:rFonts w:cs="宋体" w:asciiTheme="minorEastAsia" w:hAnsiTheme="minorEastAsia"/>
          <w:sz w:val="32"/>
          <w:szCs w:val="32"/>
        </w:rPr>
      </w:pPr>
      <w:r>
        <w:rPr>
          <w:rFonts w:hint="eastAsia" w:cs="宋体" w:asciiTheme="minorEastAsia" w:hAnsiTheme="minorEastAsia"/>
          <w:sz w:val="32"/>
          <w:szCs w:val="32"/>
        </w:rPr>
        <w:t>2、支出说明：2019年总支出为617.5万元，其中：人员经费支出519万元，日常公用经费96.7万元，项目支出为0万元。</w:t>
      </w:r>
    </w:p>
    <w:p>
      <w:pPr>
        <w:ind w:firstLine="640" w:firstLineChars="200"/>
        <w:jc w:val="left"/>
        <w:rPr>
          <w:rFonts w:cs="黑体" w:asciiTheme="minorEastAsia" w:hAnsiTheme="minorEastAsia"/>
          <w:color w:val="000000"/>
          <w:kern w:val="0"/>
          <w:sz w:val="32"/>
          <w:szCs w:val="32"/>
        </w:rPr>
      </w:pPr>
      <w:r>
        <w:rPr>
          <w:rFonts w:hint="eastAsia" w:cs="宋体" w:asciiTheme="minorEastAsia" w:hAnsiTheme="minorEastAsia"/>
          <w:sz w:val="32"/>
          <w:szCs w:val="32"/>
        </w:rPr>
        <w:t>3、“三公”经费说明：2019年度“三公”经费为0万元，根据各项规定，我单位按要求厉行节约，比年初预算比，没有产生“三公”经费，由于本单位公车于2017年年初全部上交公车办，所以本年度内没有发生公车维护费。</w:t>
      </w:r>
    </w:p>
    <w:sectPr>
      <w:pgSz w:w="11906" w:h="16838"/>
      <w:pgMar w:top="720" w:right="720" w:bottom="720" w:left="720" w:header="851" w:footer="992" w:gutter="0"/>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0000000000000000000"/>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49D3E34"/>
    <w:multiLevelType w:val="singleLevel"/>
    <w:tmpl w:val="849D3E34"/>
    <w:lvl w:ilvl="0" w:tentative="0">
      <w:start w:val="2"/>
      <w:numFmt w:val="chineseCounting"/>
      <w:suff w:val="nothing"/>
      <w:lvlText w:val="%1、"/>
      <w:lvlJc w:val="left"/>
      <w:rPr>
        <w:rFonts w:hint="eastAsia"/>
      </w:rPr>
    </w:lvl>
  </w:abstractNum>
  <w:abstractNum w:abstractNumId="1">
    <w:nsid w:val="373518C1"/>
    <w:multiLevelType w:val="multilevel"/>
    <w:tmpl w:val="373518C1"/>
    <w:lvl w:ilvl="0" w:tentative="0">
      <w:start w:val="1"/>
      <w:numFmt w:val="none"/>
      <w:lvlText w:val="一、"/>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67AA9946"/>
    <w:multiLevelType w:val="singleLevel"/>
    <w:tmpl w:val="67AA9946"/>
    <w:lvl w:ilvl="0" w:tentative="0">
      <w:start w:val="1"/>
      <w:numFmt w:val="decimal"/>
      <w:suff w:val="nothing"/>
      <w:lvlText w:val="%1、"/>
      <w:lvlJc w:val="left"/>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4506F9"/>
    <w:rsid w:val="0001344E"/>
    <w:rsid w:val="0002134F"/>
    <w:rsid w:val="0002229B"/>
    <w:rsid w:val="000273BD"/>
    <w:rsid w:val="00033915"/>
    <w:rsid w:val="00036354"/>
    <w:rsid w:val="000415B7"/>
    <w:rsid w:val="00064C75"/>
    <w:rsid w:val="000658A3"/>
    <w:rsid w:val="00074155"/>
    <w:rsid w:val="0008681D"/>
    <w:rsid w:val="000A3F69"/>
    <w:rsid w:val="00152A06"/>
    <w:rsid w:val="00152C6D"/>
    <w:rsid w:val="00162D39"/>
    <w:rsid w:val="00164F31"/>
    <w:rsid w:val="001651B4"/>
    <w:rsid w:val="0019026A"/>
    <w:rsid w:val="00194895"/>
    <w:rsid w:val="001A67DB"/>
    <w:rsid w:val="001C3AE6"/>
    <w:rsid w:val="001C5F5E"/>
    <w:rsid w:val="001D51E5"/>
    <w:rsid w:val="001E0CD3"/>
    <w:rsid w:val="001F0C3B"/>
    <w:rsid w:val="002143B2"/>
    <w:rsid w:val="00214427"/>
    <w:rsid w:val="0022587E"/>
    <w:rsid w:val="00232AD6"/>
    <w:rsid w:val="00261728"/>
    <w:rsid w:val="00265724"/>
    <w:rsid w:val="00273BAA"/>
    <w:rsid w:val="0027426B"/>
    <w:rsid w:val="002848C0"/>
    <w:rsid w:val="002C4E8A"/>
    <w:rsid w:val="002C4F37"/>
    <w:rsid w:val="002E7140"/>
    <w:rsid w:val="002F119E"/>
    <w:rsid w:val="003479BD"/>
    <w:rsid w:val="00374827"/>
    <w:rsid w:val="003768D5"/>
    <w:rsid w:val="003B2385"/>
    <w:rsid w:val="003B778D"/>
    <w:rsid w:val="00400001"/>
    <w:rsid w:val="00410E2F"/>
    <w:rsid w:val="00437BE7"/>
    <w:rsid w:val="00440F65"/>
    <w:rsid w:val="004442D4"/>
    <w:rsid w:val="0044488C"/>
    <w:rsid w:val="004506F9"/>
    <w:rsid w:val="00455FD1"/>
    <w:rsid w:val="004717A2"/>
    <w:rsid w:val="00491741"/>
    <w:rsid w:val="004E4B84"/>
    <w:rsid w:val="00500E5F"/>
    <w:rsid w:val="005122EF"/>
    <w:rsid w:val="00514C19"/>
    <w:rsid w:val="00517C33"/>
    <w:rsid w:val="00523644"/>
    <w:rsid w:val="0054069E"/>
    <w:rsid w:val="005557DF"/>
    <w:rsid w:val="005767CC"/>
    <w:rsid w:val="00580C41"/>
    <w:rsid w:val="00590D9F"/>
    <w:rsid w:val="00595D26"/>
    <w:rsid w:val="005A74E6"/>
    <w:rsid w:val="005D4D55"/>
    <w:rsid w:val="005D6CD7"/>
    <w:rsid w:val="005E2CFB"/>
    <w:rsid w:val="005E3C93"/>
    <w:rsid w:val="005F0402"/>
    <w:rsid w:val="0062378F"/>
    <w:rsid w:val="00645175"/>
    <w:rsid w:val="00651EEC"/>
    <w:rsid w:val="00652413"/>
    <w:rsid w:val="006665DA"/>
    <w:rsid w:val="006701EC"/>
    <w:rsid w:val="0067578E"/>
    <w:rsid w:val="006A351B"/>
    <w:rsid w:val="006B0422"/>
    <w:rsid w:val="006C1B53"/>
    <w:rsid w:val="006D7730"/>
    <w:rsid w:val="006E2E56"/>
    <w:rsid w:val="006E474B"/>
    <w:rsid w:val="006E5284"/>
    <w:rsid w:val="006F3EB5"/>
    <w:rsid w:val="00700BD2"/>
    <w:rsid w:val="00702E34"/>
    <w:rsid w:val="00704395"/>
    <w:rsid w:val="00712FD9"/>
    <w:rsid w:val="00720FF1"/>
    <w:rsid w:val="00723160"/>
    <w:rsid w:val="00725763"/>
    <w:rsid w:val="0074149D"/>
    <w:rsid w:val="00760F1E"/>
    <w:rsid w:val="007B6332"/>
    <w:rsid w:val="007B63CA"/>
    <w:rsid w:val="007D02F0"/>
    <w:rsid w:val="007D2276"/>
    <w:rsid w:val="007F3D78"/>
    <w:rsid w:val="00800EFA"/>
    <w:rsid w:val="00812ED5"/>
    <w:rsid w:val="008277D9"/>
    <w:rsid w:val="00860282"/>
    <w:rsid w:val="00865BC8"/>
    <w:rsid w:val="008A38D3"/>
    <w:rsid w:val="008A3E8D"/>
    <w:rsid w:val="008B501F"/>
    <w:rsid w:val="00901FFA"/>
    <w:rsid w:val="009237C4"/>
    <w:rsid w:val="00950252"/>
    <w:rsid w:val="00954086"/>
    <w:rsid w:val="00967F5D"/>
    <w:rsid w:val="00991CDA"/>
    <w:rsid w:val="009A0F95"/>
    <w:rsid w:val="009B3ADF"/>
    <w:rsid w:val="009C3B52"/>
    <w:rsid w:val="009C5BB9"/>
    <w:rsid w:val="009E512C"/>
    <w:rsid w:val="00A13692"/>
    <w:rsid w:val="00A25CF1"/>
    <w:rsid w:val="00A32E0B"/>
    <w:rsid w:val="00A42218"/>
    <w:rsid w:val="00A66966"/>
    <w:rsid w:val="00A70249"/>
    <w:rsid w:val="00A909DF"/>
    <w:rsid w:val="00AD07E8"/>
    <w:rsid w:val="00AF0E59"/>
    <w:rsid w:val="00B06C0A"/>
    <w:rsid w:val="00B1668C"/>
    <w:rsid w:val="00B33BEA"/>
    <w:rsid w:val="00B57C9F"/>
    <w:rsid w:val="00B716B6"/>
    <w:rsid w:val="00B845B3"/>
    <w:rsid w:val="00B85D8B"/>
    <w:rsid w:val="00B86EC5"/>
    <w:rsid w:val="00B913DB"/>
    <w:rsid w:val="00BA497A"/>
    <w:rsid w:val="00BC7861"/>
    <w:rsid w:val="00BE3674"/>
    <w:rsid w:val="00BE6414"/>
    <w:rsid w:val="00C3049A"/>
    <w:rsid w:val="00C31B1E"/>
    <w:rsid w:val="00C33A43"/>
    <w:rsid w:val="00C54F98"/>
    <w:rsid w:val="00C77645"/>
    <w:rsid w:val="00CE04C3"/>
    <w:rsid w:val="00CE5BB2"/>
    <w:rsid w:val="00CE76A0"/>
    <w:rsid w:val="00D01A21"/>
    <w:rsid w:val="00D041A1"/>
    <w:rsid w:val="00D148C6"/>
    <w:rsid w:val="00D22D2F"/>
    <w:rsid w:val="00D30EF3"/>
    <w:rsid w:val="00D602DE"/>
    <w:rsid w:val="00D639CF"/>
    <w:rsid w:val="00D6741D"/>
    <w:rsid w:val="00DA70BE"/>
    <w:rsid w:val="00DC250F"/>
    <w:rsid w:val="00DD06FF"/>
    <w:rsid w:val="00DD5FE9"/>
    <w:rsid w:val="00E00C7A"/>
    <w:rsid w:val="00E25D58"/>
    <w:rsid w:val="00E55B68"/>
    <w:rsid w:val="00E94ECA"/>
    <w:rsid w:val="00E9708F"/>
    <w:rsid w:val="00EC05F0"/>
    <w:rsid w:val="00EE405B"/>
    <w:rsid w:val="00F01955"/>
    <w:rsid w:val="00F03697"/>
    <w:rsid w:val="00F123D5"/>
    <w:rsid w:val="00F158F4"/>
    <w:rsid w:val="00F3635D"/>
    <w:rsid w:val="00F74360"/>
    <w:rsid w:val="00F80316"/>
    <w:rsid w:val="00F919D9"/>
    <w:rsid w:val="00FA5C78"/>
    <w:rsid w:val="00FB462F"/>
    <w:rsid w:val="00FD5395"/>
    <w:rsid w:val="00FD60B2"/>
    <w:rsid w:val="00FE16FA"/>
    <w:rsid w:val="00FE328A"/>
    <w:rsid w:val="00FF5A10"/>
    <w:rsid w:val="11FA26A9"/>
    <w:rsid w:val="20C01B97"/>
    <w:rsid w:val="30030CA4"/>
    <w:rsid w:val="32191554"/>
    <w:rsid w:val="321E2509"/>
    <w:rsid w:val="371B0004"/>
    <w:rsid w:val="3BAB46F2"/>
    <w:rsid w:val="3E4C0170"/>
    <w:rsid w:val="44D23696"/>
    <w:rsid w:val="554A4F2A"/>
    <w:rsid w:val="5DB05B69"/>
    <w:rsid w:val="60EF7BFC"/>
    <w:rsid w:val="61353F50"/>
    <w:rsid w:val="67921276"/>
    <w:rsid w:val="68D01493"/>
    <w:rsid w:val="6E5E7362"/>
    <w:rsid w:val="77E735D2"/>
    <w:rsid w:val="7D663C58"/>
    <w:rsid w:val="7F2F111E"/>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11"/>
    <w:semiHidden/>
    <w:unhideWhenUsed/>
    <w:qFormat/>
    <w:uiPriority w:val="99"/>
    <w:rPr>
      <w:sz w:val="18"/>
      <w:szCs w:val="18"/>
    </w:rPr>
  </w:style>
  <w:style w:type="paragraph" w:styleId="3">
    <w:name w:val="footer"/>
    <w:basedOn w:val="1"/>
    <w:link w:val="8"/>
    <w:unhideWhenUsed/>
    <w:qFormat/>
    <w:uiPriority w:val="99"/>
    <w:pPr>
      <w:tabs>
        <w:tab w:val="center" w:pos="4153"/>
        <w:tab w:val="right" w:pos="8306"/>
      </w:tabs>
      <w:snapToGrid w:val="0"/>
      <w:jc w:val="left"/>
    </w:pPr>
    <w:rPr>
      <w:sz w:val="18"/>
      <w:szCs w:val="18"/>
    </w:rPr>
  </w:style>
  <w:style w:type="paragraph" w:styleId="4">
    <w:name w:val="header"/>
    <w:basedOn w:val="1"/>
    <w:link w:val="7"/>
    <w:unhideWhenUsed/>
    <w:qFormat/>
    <w:uiPriority w:val="99"/>
    <w:pPr>
      <w:pBdr>
        <w:bottom w:val="single" w:color="auto" w:sz="6" w:space="1"/>
      </w:pBdr>
      <w:tabs>
        <w:tab w:val="center" w:pos="4153"/>
        <w:tab w:val="right" w:pos="8306"/>
      </w:tabs>
      <w:snapToGrid w:val="0"/>
      <w:jc w:val="center"/>
    </w:pPr>
    <w:rPr>
      <w:sz w:val="18"/>
      <w:szCs w:val="18"/>
    </w:rPr>
  </w:style>
  <w:style w:type="character" w:customStyle="1" w:styleId="7">
    <w:name w:val="页眉 Char"/>
    <w:basedOn w:val="6"/>
    <w:link w:val="4"/>
    <w:qFormat/>
    <w:uiPriority w:val="99"/>
    <w:rPr>
      <w:sz w:val="18"/>
      <w:szCs w:val="18"/>
    </w:rPr>
  </w:style>
  <w:style w:type="character" w:customStyle="1" w:styleId="8">
    <w:name w:val="页脚 Char"/>
    <w:basedOn w:val="6"/>
    <w:link w:val="3"/>
    <w:qFormat/>
    <w:uiPriority w:val="99"/>
    <w:rPr>
      <w:sz w:val="18"/>
      <w:szCs w:val="18"/>
    </w:rPr>
  </w:style>
  <w:style w:type="paragraph" w:customStyle="1" w:styleId="9">
    <w:name w:val="Default"/>
    <w:qFormat/>
    <w:uiPriority w:val="0"/>
    <w:pPr>
      <w:widowControl w:val="0"/>
      <w:autoSpaceDE w:val="0"/>
      <w:autoSpaceDN w:val="0"/>
      <w:adjustRightInd w:val="0"/>
    </w:pPr>
    <w:rPr>
      <w:rFonts w:ascii="黑体" w:eastAsia="黑体" w:cs="黑体" w:hAnsiTheme="minorHAnsi"/>
      <w:color w:val="000000"/>
      <w:sz w:val="24"/>
      <w:szCs w:val="24"/>
      <w:lang w:val="en-US" w:eastAsia="zh-CN" w:bidi="ar-SA"/>
    </w:rPr>
  </w:style>
  <w:style w:type="paragraph" w:styleId="10">
    <w:name w:val="List Paragraph"/>
    <w:basedOn w:val="1"/>
    <w:qFormat/>
    <w:uiPriority w:val="34"/>
    <w:pPr>
      <w:ind w:firstLine="420" w:firstLineChars="200"/>
    </w:pPr>
  </w:style>
  <w:style w:type="character" w:customStyle="1" w:styleId="11">
    <w:name w:val="批注框文本 Char"/>
    <w:basedOn w:val="6"/>
    <w:link w:val="2"/>
    <w:semiHidden/>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352434F2-9478-4042-887D-DDB6EF717A16}">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16</Pages>
  <Words>704</Words>
  <Characters>4019</Characters>
  <Lines>33</Lines>
  <Paragraphs>9</Paragraphs>
  <TotalTime>5</TotalTime>
  <ScaleCrop>false</ScaleCrop>
  <LinksUpToDate>false</LinksUpToDate>
  <CharactersWithSpaces>4714</CharactersWithSpaces>
  <Application>WPS Office_11.1.0.10495_F1E327BC-269C-435d-A152-05C5408002CA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2021-06-03T02:20:00Z</dcterms:created>
  <dc:creator>李航 null</dc:creator>
  <cp:lastModifiedBy>且歌</cp:lastModifiedBy>
  <cp:lastPrinted>2020-08-31T00:57:00Z</cp:lastPrinted>
  <dcterms:modified xsi:type="dcterms:W3CDTF">2021-06-06T09:32:26Z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2052-11.1.0.10495</vt:lpwstr>
  </property>
  <property fmtid="{D5CDD505-2E9C-101B-9397-08002B2CF9AE}" pid="3" name="ICV">
    <vt:lpwstr>ED8063B3E539496E8D0223CD4D2A79FF</vt:lpwstr>
  </property>
</Properties>
</file>