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color w:val="auto"/>
          <w:sz w:val="56"/>
          <w:szCs w:val="56"/>
        </w:rPr>
      </w:pPr>
    </w:p>
    <w:p>
      <w:pPr>
        <w:pStyle w:val="9"/>
        <w:jc w:val="center"/>
        <w:rPr>
          <w:color w:val="auto"/>
          <w:sz w:val="56"/>
          <w:szCs w:val="56"/>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怀化市鹤城区黄金坳中学部门决算</w:t>
      </w: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spacing w:line="540" w:lineRule="exact"/>
        <w:jc w:val="center"/>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第一部分怀化市第二中学概况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pStyle w:val="9"/>
        <w:ind w:firstLine="640" w:firstLineChars="200"/>
        <w:rPr>
          <w:rFonts w:asciiTheme="minorEastAsia" w:hAnsiTheme="minorEastAsia" w:eastAsiaTheme="minorEastAsia"/>
          <w:bCs/>
          <w:color w:val="auto"/>
          <w:sz w:val="32"/>
          <w:szCs w:val="32"/>
        </w:rPr>
      </w:pPr>
      <w:r>
        <w:rPr>
          <w:rFonts w:hint="eastAsia" w:asciiTheme="minorEastAsia" w:hAnsiTheme="minorEastAsia" w:eastAsiaTheme="minorEastAsia"/>
          <w:bCs/>
          <w:color w:val="auto"/>
          <w:sz w:val="32"/>
          <w:szCs w:val="32"/>
        </w:rPr>
        <w:t>五、决算收支增减变化情况说明</w:t>
      </w:r>
    </w:p>
    <w:p>
      <w:pPr>
        <w:pStyle w:val="9"/>
        <w:ind w:firstLine="640" w:firstLineChars="200"/>
        <w:rPr>
          <w:rFonts w:ascii="宋体" w:hAnsi="宋体" w:eastAsia="宋体" w:cs="宋体"/>
          <w:sz w:val="32"/>
          <w:szCs w:val="32"/>
        </w:rPr>
      </w:pPr>
      <w:r>
        <w:rPr>
          <w:rFonts w:hint="eastAsia" w:ascii="宋体" w:hAnsi="宋体" w:eastAsia="宋体" w:cs="宋体"/>
          <w:sz w:val="32"/>
          <w:szCs w:val="32"/>
        </w:rPr>
        <w:t>六、一般公共预算财政拨款支出决算情况说明</w:t>
      </w:r>
    </w:p>
    <w:p>
      <w:pPr>
        <w:autoSpaceDE w:val="0"/>
        <w:autoSpaceDN w:val="0"/>
        <w:adjustRightInd w:val="0"/>
        <w:spacing w:line="520" w:lineRule="exact"/>
        <w:ind w:firstLine="560" w:firstLineChars="200"/>
        <w:jc w:val="left"/>
        <w:rPr>
          <w:rFonts w:ascii="仿宋_GB2312" w:hAnsi="仿宋_GB2312" w:cs="仿宋_GB2312"/>
          <w:kern w:val="0"/>
          <w:sz w:val="28"/>
          <w:szCs w:val="28"/>
        </w:rPr>
      </w:pPr>
      <w:r>
        <w:rPr>
          <w:rFonts w:hint="eastAsia" w:ascii="仿宋_GB2312" w:hAnsi="仿宋_GB2312" w:cs="仿宋_GB2312"/>
          <w:kern w:val="0"/>
          <w:sz w:val="28"/>
          <w:szCs w:val="28"/>
        </w:rPr>
        <w:t>七</w:t>
      </w:r>
      <w:r>
        <w:rPr>
          <w:rFonts w:ascii="仿宋_GB2312" w:hAnsi="仿宋_GB2312" w:cs="仿宋_GB2312"/>
          <w:kern w:val="0"/>
          <w:sz w:val="28"/>
          <w:szCs w:val="28"/>
        </w:rPr>
        <w:t>、一般公共预算财政拨款基本支出决算情况说明</w:t>
      </w:r>
    </w:p>
    <w:p>
      <w:pPr>
        <w:autoSpaceDE w:val="0"/>
        <w:autoSpaceDN w:val="0"/>
        <w:adjustRightInd w:val="0"/>
        <w:spacing w:line="520" w:lineRule="exact"/>
        <w:ind w:firstLine="560" w:firstLineChars="20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、一般公共预算财政拨款三公经费支出决算情况说明</w:t>
      </w:r>
    </w:p>
    <w:p>
      <w:pPr>
        <w:autoSpaceDE w:val="0"/>
        <w:autoSpaceDN w:val="0"/>
        <w:adjustRightInd w:val="0"/>
        <w:spacing w:line="520" w:lineRule="exact"/>
        <w:ind w:firstLine="560" w:firstLineChars="20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560" w:firstLineChars="20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560" w:firstLineChars="20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怀化市鹤城区黄金坳中学概况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怀化市鹤城区黄金坳中学是全额拨款的事业单位。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从事初中教育教学工作。</w:t>
      </w:r>
    </w:p>
    <w:p>
      <w:pPr>
        <w:spacing w:line="600" w:lineRule="exact"/>
        <w:ind w:firstLine="800" w:firstLineChars="25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2019年部门预算编报范围包括怀化市鹤城区黄金坳中学一个一级部门预算单位，内设9个办公室，分别为</w:t>
      </w:r>
      <w:r>
        <w:rPr>
          <w:rFonts w:hint="eastAsia" w:asciiTheme="minorEastAsia" w:hAnsiTheme="minorEastAsia" w:cstheme="minorEastAsia"/>
          <w:sz w:val="32"/>
          <w:szCs w:val="32"/>
        </w:rPr>
        <w:t>校长室、办公室、财务室、教务处、德育处、教研室、总务处、工会、团委</w:t>
      </w:r>
      <w:r>
        <w:rPr>
          <w:rFonts w:hint="eastAsia" w:cs="仿宋" w:asciiTheme="minorEastAsia" w:hAnsiTheme="minorEastAsia"/>
          <w:sz w:val="30"/>
          <w:szCs w:val="30"/>
        </w:rPr>
        <w:t>。单位有编制数43，在编35人，领导班子成员14人。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怀化市鹤城区黄金坳中学。</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color w:val="auto"/>
          <w:sz w:val="32"/>
          <w:szCs w:val="32"/>
        </w:rPr>
      </w:pPr>
      <w:r>
        <w:rPr>
          <w:rFonts w:hint="eastAsia" w:hAnsi="黑体"/>
          <w:color w:val="auto"/>
          <w:sz w:val="32"/>
          <w:szCs w:val="32"/>
        </w:rPr>
        <w:t xml:space="preserve">    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w:t>
      </w:r>
      <w:r>
        <w:rPr>
          <w:rFonts w:hint="eastAsia" w:asciiTheme="minorEastAsia" w:hAnsiTheme="minorEastAsia" w:eastAsiaTheme="minorEastAsia"/>
          <w:sz w:val="32"/>
          <w:szCs w:val="32"/>
        </w:rPr>
        <w:t>978.24</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w:t>
      </w:r>
      <w:r>
        <w:rPr>
          <w:rFonts w:hint="eastAsia" w:asciiTheme="minorEastAsia" w:hAnsiTheme="minorEastAsia" w:eastAsiaTheme="minorEastAsia"/>
          <w:sz w:val="32"/>
          <w:szCs w:val="32"/>
        </w:rPr>
        <w:t>978.24</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hAnsi="黑体"/>
          <w:color w:val="auto"/>
          <w:sz w:val="32"/>
          <w:szCs w:val="32"/>
        </w:rPr>
      </w:pPr>
      <w:r>
        <w:rPr>
          <w:rFonts w:hint="eastAsia" w:hAnsi="黑体"/>
          <w:color w:val="auto"/>
          <w:sz w:val="32"/>
          <w:szCs w:val="32"/>
        </w:rPr>
        <w:t xml:space="preserve">    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w:t>
      </w:r>
      <w:r>
        <w:rPr>
          <w:rFonts w:hint="eastAsia" w:asciiTheme="minorEastAsia" w:hAnsiTheme="minorEastAsia" w:eastAsiaTheme="minorEastAsia"/>
          <w:sz w:val="32"/>
          <w:szCs w:val="32"/>
        </w:rPr>
        <w:t>978.24</w:t>
      </w:r>
      <w:r>
        <w:rPr>
          <w:rFonts w:hint="eastAsia" w:asciiTheme="minorEastAsia" w:hAnsiTheme="minorEastAsia" w:eastAsiaTheme="minorEastAsia"/>
          <w:color w:val="auto"/>
          <w:sz w:val="32"/>
          <w:szCs w:val="32"/>
        </w:rPr>
        <w:t>万元，其中：</w:t>
      </w:r>
      <w:r>
        <w:rPr>
          <w:rFonts w:hint="eastAsia" w:asciiTheme="minorEastAsia" w:hAnsiTheme="minorEastAsia" w:eastAsiaTheme="minorEastAsia"/>
          <w:sz w:val="32"/>
          <w:szCs w:val="32"/>
        </w:rPr>
        <w:t>财政拨款收入931.66万元，占95.2%；上级补助收入0万元，占0%；事业收入0万元，占0%；经营收入0万元，占0%；附属单位上缴收入0万元，占0%；其他收入46.58万元，占4.8%。</w:t>
      </w:r>
    </w:p>
    <w:p>
      <w:pPr>
        <w:pStyle w:val="9"/>
        <w:rPr>
          <w:rFonts w:hAnsi="黑体"/>
          <w:color w:val="auto"/>
          <w:sz w:val="32"/>
          <w:szCs w:val="32"/>
        </w:rPr>
      </w:pPr>
      <w:r>
        <w:rPr>
          <w:rFonts w:hint="eastAsia" w:hAnsi="黑体"/>
          <w:color w:val="auto"/>
          <w:sz w:val="32"/>
          <w:szCs w:val="32"/>
        </w:rPr>
        <w:t xml:space="preserve">    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w:t>
      </w:r>
      <w:r>
        <w:rPr>
          <w:rFonts w:hint="eastAsia" w:asciiTheme="minorEastAsia" w:hAnsiTheme="minorEastAsia" w:eastAsiaTheme="minorEastAsia"/>
          <w:sz w:val="32"/>
          <w:szCs w:val="32"/>
        </w:rPr>
        <w:t>978.24</w:t>
      </w:r>
      <w:r>
        <w:rPr>
          <w:rFonts w:hint="eastAsia" w:asciiTheme="minorEastAsia" w:hAnsiTheme="minorEastAsia" w:eastAsiaTheme="minorEastAsia"/>
          <w:color w:val="auto"/>
          <w:sz w:val="32"/>
          <w:szCs w:val="32"/>
        </w:rPr>
        <w:t>万元，其中：</w:t>
      </w:r>
      <w:r>
        <w:rPr>
          <w:rFonts w:hint="eastAsia" w:asciiTheme="minorEastAsia" w:hAnsiTheme="minorEastAsia" w:eastAsiaTheme="minorEastAsia"/>
          <w:sz w:val="32"/>
          <w:szCs w:val="32"/>
        </w:rPr>
        <w:t>基本支出701.13万元，占71.67%；项目支出277.1万元，占28.33%；上缴上级支出0万元，占0%；经营支出0万元，占0%；对附属单位补助支出0万元，占0%。</w:t>
      </w:r>
    </w:p>
    <w:p>
      <w:pPr>
        <w:pStyle w:val="9"/>
        <w:rPr>
          <w:rFonts w:hAnsi="黑体"/>
          <w:color w:val="auto"/>
          <w:sz w:val="32"/>
          <w:szCs w:val="32"/>
        </w:rPr>
      </w:pPr>
      <w:r>
        <w:rPr>
          <w:rFonts w:hint="eastAsia" w:hAnsi="黑体"/>
          <w:color w:val="auto"/>
          <w:sz w:val="32"/>
          <w:szCs w:val="32"/>
        </w:rPr>
        <w:t xml:space="preserve">    四、财政拨款收入支出决算总体情况说明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w:t>
      </w:r>
      <w:r>
        <w:rPr>
          <w:rFonts w:hint="eastAsia" w:asciiTheme="minorEastAsia" w:hAnsiTheme="minorEastAsia" w:eastAsiaTheme="minorEastAsia"/>
          <w:sz w:val="32"/>
          <w:szCs w:val="32"/>
        </w:rPr>
        <w:t>931.66</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w:t>
      </w:r>
      <w:r>
        <w:rPr>
          <w:rFonts w:hint="eastAsia" w:asciiTheme="minorEastAsia" w:hAnsiTheme="minorEastAsia" w:eastAsiaTheme="minorEastAsia"/>
          <w:sz w:val="32"/>
          <w:szCs w:val="32"/>
        </w:rPr>
        <w:t>931.66</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hAnsi="黑体"/>
          <w:color w:val="auto"/>
          <w:sz w:val="32"/>
          <w:szCs w:val="32"/>
        </w:rPr>
      </w:pPr>
      <w:r>
        <w:rPr>
          <w:rFonts w:hint="eastAsia" w:hAnsi="黑体"/>
          <w:color w:val="auto"/>
          <w:sz w:val="32"/>
          <w:szCs w:val="32"/>
        </w:rPr>
        <w:t xml:space="preserve">    五、决算收支增减变化情况说明</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 xml:space="preserve">   </w:t>
      </w:r>
      <w:r>
        <w:rPr>
          <w:rFonts w:hint="eastAsia" w:asciiTheme="minorEastAsia" w:hAnsiTheme="minorEastAsia" w:eastAsiaTheme="minorEastAsia"/>
          <w:color w:val="auto"/>
          <w:sz w:val="32"/>
          <w:szCs w:val="32"/>
        </w:rPr>
        <w:t xml:space="preserve"> 2019年决算收入合计</w:t>
      </w:r>
      <w:r>
        <w:rPr>
          <w:rFonts w:hint="eastAsia" w:asciiTheme="minorEastAsia" w:hAnsiTheme="minorEastAsia" w:eastAsiaTheme="minorEastAsia"/>
          <w:bCs/>
          <w:sz w:val="32"/>
          <w:szCs w:val="32"/>
        </w:rPr>
        <w:t>978.24</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 xml:space="preserve">    2019年决算支出合计</w:t>
      </w:r>
      <w:r>
        <w:rPr>
          <w:rFonts w:hint="eastAsia" w:asciiTheme="minorEastAsia" w:hAnsiTheme="minorEastAsia" w:eastAsiaTheme="minorEastAsia"/>
          <w:bCs/>
          <w:sz w:val="32"/>
          <w:szCs w:val="32"/>
        </w:rPr>
        <w:t>978.24</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b/>
          <w:color w:val="auto"/>
          <w:sz w:val="32"/>
          <w:szCs w:val="32"/>
        </w:rPr>
        <w:t>，</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color w:val="auto"/>
          <w:sz w:val="32"/>
          <w:szCs w:val="32"/>
        </w:rPr>
      </w:pPr>
      <w:r>
        <w:rPr>
          <w:rFonts w:hint="eastAsia" w:hAnsi="黑体"/>
          <w:color w:val="auto"/>
          <w:sz w:val="32"/>
          <w:szCs w:val="32"/>
        </w:rPr>
        <w:t xml:space="preserve">    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sz w:val="32"/>
          <w:szCs w:val="32"/>
          <w:lang w:val="en-US" w:eastAsia="zh-CN"/>
        </w:rPr>
        <w:t>931.66</w:t>
      </w:r>
      <w:r>
        <w:rPr>
          <w:rFonts w:hint="eastAsia" w:asciiTheme="minorEastAsia" w:hAnsiTheme="minorEastAsia" w:eastAsiaTheme="minorEastAsia"/>
          <w:color w:val="auto"/>
          <w:sz w:val="32"/>
          <w:szCs w:val="32"/>
        </w:rPr>
        <w:t>万元，占本年支出合计的100%，由于18年学校并未单独填报决算，自19年作为新增单位开始单独报决算故无法与上年数据进行对比.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sz w:val="32"/>
          <w:szCs w:val="32"/>
          <w:lang w:val="en-US" w:eastAsia="zh-CN"/>
        </w:rPr>
        <w:t>931.66</w:t>
      </w:r>
      <w:r>
        <w:rPr>
          <w:rFonts w:hint="eastAsia" w:asciiTheme="minorEastAsia" w:hAnsiTheme="minorEastAsia" w:eastAsiaTheme="minorEastAsia"/>
          <w:color w:val="auto"/>
          <w:sz w:val="32"/>
          <w:szCs w:val="32"/>
        </w:rPr>
        <w:t>万元，主要用于</w:t>
      </w:r>
      <w:r>
        <w:rPr>
          <w:rFonts w:hint="eastAsia" w:asciiTheme="minorEastAsia" w:hAnsiTheme="minorEastAsia" w:eastAsiaTheme="minorEastAsia"/>
          <w:color w:val="auto"/>
          <w:sz w:val="32"/>
          <w:szCs w:val="32"/>
          <w:lang w:eastAsia="zh-CN"/>
        </w:rPr>
        <w:t>普通</w:t>
      </w:r>
      <w:r>
        <w:rPr>
          <w:rFonts w:hint="eastAsia" w:asciiTheme="minorEastAsia" w:hAnsiTheme="minorEastAsia" w:eastAsiaTheme="minorEastAsia"/>
          <w:color w:val="auto"/>
          <w:sz w:val="32"/>
          <w:szCs w:val="32"/>
        </w:rPr>
        <w:t>教育</w:t>
      </w:r>
      <w:r>
        <w:rPr>
          <w:rFonts w:hint="eastAsia" w:asciiTheme="minorEastAsia" w:hAnsiTheme="minorEastAsia" w:eastAsiaTheme="minorEastAsia"/>
          <w:sz w:val="32"/>
          <w:szCs w:val="32"/>
        </w:rPr>
        <w:t>931.66</w:t>
      </w:r>
      <w:r>
        <w:rPr>
          <w:rFonts w:hint="eastAsia" w:asciiTheme="minorEastAsia" w:hAnsiTheme="minorEastAsia" w:eastAsiaTheme="minorEastAsia"/>
          <w:color w:val="auto"/>
          <w:sz w:val="32"/>
          <w:szCs w:val="32"/>
        </w:rPr>
        <w:t>万元，占100%。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hint="eastAsia" w:asciiTheme="minorEastAsia" w:hAnsiTheme="minorEastAsia" w:eastAsiaTheme="minorEastAsia"/>
          <w:sz w:val="32"/>
          <w:szCs w:val="32"/>
          <w:lang w:val="en-US" w:eastAsia="zh-CN"/>
        </w:rPr>
        <w:t>931.66</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sz w:val="32"/>
          <w:szCs w:val="32"/>
          <w:lang w:val="en-US" w:eastAsia="zh-CN"/>
        </w:rPr>
        <w:t>931.66</w:t>
      </w:r>
      <w:r>
        <w:rPr>
          <w:rFonts w:hint="eastAsia" w:asciiTheme="minorEastAsia" w:hAnsiTheme="minorEastAsia" w:eastAsiaTheme="minorEastAsia"/>
          <w:color w:val="auto"/>
          <w:sz w:val="32"/>
          <w:szCs w:val="32"/>
        </w:rPr>
        <w:t>万元，完成年初预算的100%，其中：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w:t>
      </w:r>
      <w:r>
        <w:rPr>
          <w:rFonts w:hint="eastAsia" w:asciiTheme="minorEastAsia" w:hAnsiTheme="minorEastAsia" w:eastAsiaTheme="minorEastAsia"/>
          <w:b/>
          <w:color w:val="auto"/>
          <w:sz w:val="32"/>
          <w:szCs w:val="32"/>
        </w:rPr>
        <w:t>初中教育支出205（类）02（款）03（项)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19年度财政拨款支出年初预算数为654.5</w:t>
      </w: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万元，教育支出决算数为654.5</w:t>
      </w: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万元，完成年初预算的100%.</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w:t>
      </w:r>
      <w:r>
        <w:rPr>
          <w:rFonts w:hint="eastAsia" w:asciiTheme="minorEastAsia" w:hAnsiTheme="minorEastAsia" w:eastAsiaTheme="minorEastAsia"/>
          <w:b/>
          <w:color w:val="auto"/>
          <w:sz w:val="32"/>
          <w:szCs w:val="32"/>
        </w:rPr>
        <w:t>其他普通教育支出205（类）02（款）99（项)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000000" w:themeColor="text1"/>
          <w:sz w:val="32"/>
          <w:szCs w:val="32"/>
        </w:rPr>
        <w:t>277.11</w:t>
      </w:r>
      <w:r>
        <w:rPr>
          <w:rFonts w:hint="eastAsia" w:asciiTheme="minorEastAsia" w:hAnsiTheme="minorEastAsia" w:eastAsiaTheme="minorEastAsia"/>
          <w:color w:val="auto"/>
          <w:sz w:val="32"/>
          <w:szCs w:val="32"/>
        </w:rPr>
        <w:t>，支出决算为</w:t>
      </w:r>
      <w:r>
        <w:rPr>
          <w:rFonts w:hint="eastAsia" w:asciiTheme="minorEastAsia" w:hAnsiTheme="minorEastAsia" w:eastAsiaTheme="minorEastAsia"/>
          <w:color w:val="000000" w:themeColor="text1"/>
          <w:sz w:val="32"/>
          <w:szCs w:val="32"/>
        </w:rPr>
        <w:t>277.11</w:t>
      </w:r>
      <w:r>
        <w:rPr>
          <w:rFonts w:hint="eastAsia" w:asciiTheme="minorEastAsia" w:hAnsiTheme="minorEastAsia" w:eastAsiaTheme="minorEastAsia"/>
          <w:color w:val="auto"/>
          <w:sz w:val="32"/>
          <w:szCs w:val="32"/>
        </w:rPr>
        <w:t>元，完成预算的100%。</w:t>
      </w:r>
    </w:p>
    <w:p>
      <w:pPr>
        <w:pStyle w:val="9"/>
        <w:rPr>
          <w:rFonts w:hAnsi="黑体"/>
          <w:b/>
          <w:color w:val="auto"/>
          <w:sz w:val="32"/>
          <w:szCs w:val="32"/>
        </w:rPr>
      </w:pPr>
      <w:r>
        <w:rPr>
          <w:rFonts w:hint="eastAsia" w:hAnsi="黑体"/>
          <w:b/>
          <w:color w:val="auto"/>
          <w:sz w:val="32"/>
          <w:szCs w:val="32"/>
        </w:rPr>
        <w:t xml:space="preserve">    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w:t>
      </w:r>
      <w:r>
        <w:rPr>
          <w:rFonts w:hint="eastAsia" w:asciiTheme="minorEastAsia" w:hAnsiTheme="minorEastAsia" w:eastAsiaTheme="minorEastAsia"/>
          <w:sz w:val="32"/>
          <w:szCs w:val="32"/>
          <w:lang w:val="en-US" w:eastAsia="zh-CN"/>
        </w:rPr>
        <w:t>654.55</w:t>
      </w:r>
      <w:r>
        <w:rPr>
          <w:rFonts w:hint="eastAsia" w:asciiTheme="minorEastAsia" w:hAnsiTheme="minorEastAsia" w:eastAsiaTheme="minorEastAsia"/>
          <w:color w:val="auto"/>
          <w:sz w:val="32"/>
          <w:szCs w:val="32"/>
        </w:rPr>
        <w:t>万元，其中：</w:t>
      </w:r>
      <w:r>
        <w:rPr>
          <w:rFonts w:hint="eastAsia" w:asciiTheme="minorEastAsia" w:hAnsiTheme="minorEastAsia" w:eastAsiaTheme="minorEastAsia"/>
          <w:sz w:val="32"/>
          <w:szCs w:val="32"/>
        </w:rPr>
        <w:t>人员经费547.6万元，占基本支出的</w:t>
      </w:r>
      <w:r>
        <w:rPr>
          <w:rFonts w:hint="eastAsia" w:asciiTheme="minorEastAsia" w:hAnsiTheme="minorEastAsia" w:eastAsiaTheme="minorEastAsia"/>
          <w:sz w:val="32"/>
          <w:szCs w:val="32"/>
          <w:lang w:val="en-US" w:eastAsia="zh-CN"/>
        </w:rPr>
        <w:t>83.66</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106.95万元，占基本支出的</w:t>
      </w:r>
      <w:r>
        <w:rPr>
          <w:rFonts w:hint="eastAsia" w:asciiTheme="minorEastAsia" w:hAnsiTheme="minorEastAsia" w:eastAsiaTheme="minorEastAsia"/>
          <w:sz w:val="32"/>
          <w:szCs w:val="32"/>
          <w:lang w:val="en-US" w:eastAsia="zh-CN"/>
        </w:rPr>
        <w:t>16.34</w:t>
      </w:r>
      <w:r>
        <w:rPr>
          <w:rFonts w:hint="eastAsia" w:asciiTheme="minorEastAsia" w:hAnsiTheme="minorEastAsia" w:eastAsiaTheme="minorEastAsia"/>
          <w:sz w:val="32"/>
          <w:szCs w:val="32"/>
        </w:rPr>
        <w:t>%，主要包括办公费、印刷费、手续费、水费、电费、邮电费、差旅费、工会经费、福利费、其他商品和服务支出。</w:t>
      </w:r>
    </w:p>
    <w:p>
      <w:pPr>
        <w:pStyle w:val="9"/>
        <w:rPr>
          <w:rFonts w:hAnsi="黑体"/>
          <w:b/>
          <w:color w:val="auto"/>
          <w:sz w:val="32"/>
          <w:szCs w:val="32"/>
        </w:rPr>
      </w:pPr>
      <w:r>
        <w:rPr>
          <w:rFonts w:hint="eastAsia" w:hAnsi="黑体"/>
          <w:b/>
          <w:color w:val="auto"/>
          <w:sz w:val="32"/>
          <w:szCs w:val="32"/>
        </w:rPr>
        <w:t xml:space="preserve">    八、一般公共预算财政拨款三公经费支出决算情况说明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“三公”经费财政拨款支出预算为0万元，支出决算为0万元，完成预算的0%，其中：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因公出国（境）费支出预算为0万元，支出决算为0万元，完成预算的0%。</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公务接待费支出预算为0万元，支出决算为0万元，完成预算的0%。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由于18年学校并未单独填报决算，自19年作为新增单位开始单独报决算故无法与上年数据进行对比。</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（二）“三公”经费财政拨款支出决算具体情况说明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2019年度“三公”经费财政拨款支出决算中，公务接待费支出</w:t>
      </w:r>
      <w:bookmarkStart w:id="0" w:name="_GoBack"/>
      <w:bookmarkEnd w:id="0"/>
      <w:r>
        <w:rPr>
          <w:rFonts w:hint="eastAsia" w:asciiTheme="minorEastAsia" w:hAnsiTheme="minorEastAsia" w:eastAsiaTheme="minorEastAsia"/>
          <w:sz w:val="32"/>
          <w:szCs w:val="32"/>
        </w:rPr>
        <w:t>决算0万元，占0%,因公出国（境）费支出决算0万元，占0%,公务用车购置费及运行维护费支出决算0万元，占0%。其中：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1、因公出国（境）费支出决算为0万元，全年安排因公出国（境）团组0个，累计0人次。</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2、公务接待费支出决算为0万元，全年共接待来访团组0个、来宾0人次。</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auto"/>
          <w:sz w:val="32"/>
          <w:szCs w:val="32"/>
        </w:rPr>
      </w:pPr>
      <w:r>
        <w:rPr>
          <w:rFonts w:hint="eastAsia" w:hAnsi="黑体"/>
          <w:b/>
          <w:color w:val="auto"/>
          <w:sz w:val="32"/>
          <w:szCs w:val="32"/>
        </w:rPr>
        <w:t xml:space="preserve">    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2019年本部门开支工会经费6.8万元；开支培训费1.4万元，用于外出教育教学专门培训，办公费21.96万元；印刷费0.51万元；水费2.88万元；电费5.89万元；差旅费7.26万元；维修（护）费22.21万元，劳务费4.11万元，等用于维持教育教学工作运行。</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640" w:firstLineChars="200"/>
        <w:rPr>
          <w:rFonts w:cs="黑体" w:asciiTheme="minorEastAsia" w:hAnsiTheme="minorEastAsia"/>
          <w:b/>
          <w:bCs/>
          <w:kern w:val="0"/>
          <w:sz w:val="32"/>
          <w:szCs w:val="32"/>
        </w:rPr>
      </w:pPr>
      <w:r>
        <w:rPr>
          <w:rFonts w:hint="eastAsia" w:cs="黑体" w:asciiTheme="minorEastAsia" w:hAnsiTheme="minorEastAsia"/>
          <w:b/>
          <w:bCs/>
          <w:kern w:val="0"/>
          <w:sz w:val="32"/>
          <w:szCs w:val="32"/>
        </w:rPr>
        <w:t>十一、其他重要事项情况说明</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仿宋" w:asciiTheme="minorEastAsia" w:hAnsiTheme="minorEastAsia"/>
          <w:sz w:val="30"/>
          <w:szCs w:val="30"/>
        </w:rPr>
      </w:pPr>
      <w:r>
        <w:rPr>
          <w:rFonts w:hint="eastAsia" w:cs="宋体" w:asciiTheme="minorEastAsia" w:hAnsiTheme="minorEastAsia"/>
          <w:sz w:val="32"/>
          <w:szCs w:val="32"/>
        </w:rPr>
        <w:t>1、怀化市鹤城区黄金坳中学是全额拨款的事业单位。</w:t>
      </w:r>
      <w:r>
        <w:rPr>
          <w:rFonts w:hint="eastAsia" w:cs="仿宋" w:asciiTheme="minorEastAsia" w:hAnsiTheme="minorEastAsia"/>
          <w:sz w:val="30"/>
          <w:szCs w:val="30"/>
        </w:rPr>
        <w:t>内设9个办公室，分别为</w:t>
      </w:r>
      <w:r>
        <w:rPr>
          <w:rFonts w:hint="eastAsia" w:asciiTheme="minorEastAsia" w:hAnsiTheme="minorEastAsia" w:cstheme="minorEastAsia"/>
          <w:sz w:val="32"/>
          <w:szCs w:val="32"/>
        </w:rPr>
        <w:t>校长室、办公室、财务室、教务处、德育处、教研室、总务处、工会、团委</w:t>
      </w:r>
      <w:r>
        <w:rPr>
          <w:rFonts w:hint="eastAsia" w:cs="仿宋" w:asciiTheme="minorEastAsia" w:hAnsiTheme="minorEastAsia"/>
          <w:sz w:val="30"/>
          <w:szCs w:val="30"/>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单位有编制数43，在编13人，领导班子成员8人。党总支下设怀化市鹤城区黄金坳党支部，共有党员22人。</w:t>
      </w:r>
      <w:r>
        <w:rPr>
          <w:rFonts w:hint="eastAsia" w:cs="宋体" w:asciiTheme="minorEastAsia" w:hAnsiTheme="minorEastAsia"/>
          <w:sz w:val="32"/>
          <w:szCs w:val="32"/>
        </w:rPr>
        <w:t>离退休人员0人。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1、收入说明：2019年总收入为978.24万元。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2、支出说明：2019年总支出为978.24万元，其中：基本支出701.14万元，项目支出277.11万元。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3、“三公”经费说明：2019年度“三公”经费为0万元，根据各项规定，我单位按要求厉行节约，没有产生“三公”经费，本单位有0辆公车。</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506F9"/>
    <w:rsid w:val="00012C69"/>
    <w:rsid w:val="0002134F"/>
    <w:rsid w:val="0002229B"/>
    <w:rsid w:val="000273BD"/>
    <w:rsid w:val="00031E2B"/>
    <w:rsid w:val="00033094"/>
    <w:rsid w:val="00033915"/>
    <w:rsid w:val="00036354"/>
    <w:rsid w:val="00037D31"/>
    <w:rsid w:val="000415B7"/>
    <w:rsid w:val="00047F3D"/>
    <w:rsid w:val="000514BD"/>
    <w:rsid w:val="00060ED9"/>
    <w:rsid w:val="000658A3"/>
    <w:rsid w:val="00074155"/>
    <w:rsid w:val="00083B5B"/>
    <w:rsid w:val="0008681D"/>
    <w:rsid w:val="00093EC0"/>
    <w:rsid w:val="000A3F69"/>
    <w:rsid w:val="000C0CE1"/>
    <w:rsid w:val="000C2A32"/>
    <w:rsid w:val="000D515F"/>
    <w:rsid w:val="001422B9"/>
    <w:rsid w:val="00152A06"/>
    <w:rsid w:val="00152C6D"/>
    <w:rsid w:val="00162D39"/>
    <w:rsid w:val="00164F31"/>
    <w:rsid w:val="001651B4"/>
    <w:rsid w:val="0017231E"/>
    <w:rsid w:val="001804B7"/>
    <w:rsid w:val="0019026A"/>
    <w:rsid w:val="0019242D"/>
    <w:rsid w:val="00194895"/>
    <w:rsid w:val="001A67DB"/>
    <w:rsid w:val="001C3AE6"/>
    <w:rsid w:val="001C5F5E"/>
    <w:rsid w:val="001D3EBE"/>
    <w:rsid w:val="001D51E5"/>
    <w:rsid w:val="001E0CD3"/>
    <w:rsid w:val="001F0C3B"/>
    <w:rsid w:val="001F28AF"/>
    <w:rsid w:val="002143B2"/>
    <w:rsid w:val="00214427"/>
    <w:rsid w:val="0022587E"/>
    <w:rsid w:val="00232AD6"/>
    <w:rsid w:val="00257BD8"/>
    <w:rsid w:val="00261728"/>
    <w:rsid w:val="00265724"/>
    <w:rsid w:val="00273BAA"/>
    <w:rsid w:val="0027426B"/>
    <w:rsid w:val="002848C0"/>
    <w:rsid w:val="002A3703"/>
    <w:rsid w:val="002C2A55"/>
    <w:rsid w:val="002C335B"/>
    <w:rsid w:val="002C4E8A"/>
    <w:rsid w:val="002C4F37"/>
    <w:rsid w:val="002E7140"/>
    <w:rsid w:val="00320832"/>
    <w:rsid w:val="003479BD"/>
    <w:rsid w:val="00374827"/>
    <w:rsid w:val="003768D5"/>
    <w:rsid w:val="003825FE"/>
    <w:rsid w:val="00391D72"/>
    <w:rsid w:val="003B2385"/>
    <w:rsid w:val="003B2AE7"/>
    <w:rsid w:val="003B6FD5"/>
    <w:rsid w:val="0041088F"/>
    <w:rsid w:val="00410E2F"/>
    <w:rsid w:val="0042598F"/>
    <w:rsid w:val="00437BE7"/>
    <w:rsid w:val="00440F65"/>
    <w:rsid w:val="0044115F"/>
    <w:rsid w:val="004442D4"/>
    <w:rsid w:val="0044488C"/>
    <w:rsid w:val="004506F9"/>
    <w:rsid w:val="00460F38"/>
    <w:rsid w:val="004717A2"/>
    <w:rsid w:val="004821F6"/>
    <w:rsid w:val="00491741"/>
    <w:rsid w:val="004B425F"/>
    <w:rsid w:val="004C22AE"/>
    <w:rsid w:val="004D0B17"/>
    <w:rsid w:val="004E4B84"/>
    <w:rsid w:val="00500E5F"/>
    <w:rsid w:val="00510DDA"/>
    <w:rsid w:val="005122EF"/>
    <w:rsid w:val="00514C19"/>
    <w:rsid w:val="00517C33"/>
    <w:rsid w:val="00523644"/>
    <w:rsid w:val="0054069E"/>
    <w:rsid w:val="00545BFE"/>
    <w:rsid w:val="00552FC0"/>
    <w:rsid w:val="005557DF"/>
    <w:rsid w:val="00560D2A"/>
    <w:rsid w:val="00570ABF"/>
    <w:rsid w:val="00575522"/>
    <w:rsid w:val="005767CC"/>
    <w:rsid w:val="00586258"/>
    <w:rsid w:val="00590D9F"/>
    <w:rsid w:val="005958F3"/>
    <w:rsid w:val="00595D26"/>
    <w:rsid w:val="005A28F7"/>
    <w:rsid w:val="005A74E6"/>
    <w:rsid w:val="005B1FF8"/>
    <w:rsid w:val="005C04E7"/>
    <w:rsid w:val="005C3BCA"/>
    <w:rsid w:val="005D4D55"/>
    <w:rsid w:val="005D5052"/>
    <w:rsid w:val="005D6CD7"/>
    <w:rsid w:val="005E2CFB"/>
    <w:rsid w:val="005E3C93"/>
    <w:rsid w:val="005F0402"/>
    <w:rsid w:val="00622EAB"/>
    <w:rsid w:val="0062378F"/>
    <w:rsid w:val="00645175"/>
    <w:rsid w:val="00651EEC"/>
    <w:rsid w:val="00652413"/>
    <w:rsid w:val="006665DA"/>
    <w:rsid w:val="006701EC"/>
    <w:rsid w:val="0067578E"/>
    <w:rsid w:val="00676D61"/>
    <w:rsid w:val="006A351B"/>
    <w:rsid w:val="006B0422"/>
    <w:rsid w:val="006B2A77"/>
    <w:rsid w:val="006C1B53"/>
    <w:rsid w:val="006D7730"/>
    <w:rsid w:val="006E2E56"/>
    <w:rsid w:val="006E474B"/>
    <w:rsid w:val="006E5284"/>
    <w:rsid w:val="006F3EB5"/>
    <w:rsid w:val="00700BD2"/>
    <w:rsid w:val="00702E34"/>
    <w:rsid w:val="00704395"/>
    <w:rsid w:val="00712FD9"/>
    <w:rsid w:val="00720FF1"/>
    <w:rsid w:val="00721A2A"/>
    <w:rsid w:val="00723160"/>
    <w:rsid w:val="007234BE"/>
    <w:rsid w:val="00725763"/>
    <w:rsid w:val="00737EF0"/>
    <w:rsid w:val="0074149D"/>
    <w:rsid w:val="0077754B"/>
    <w:rsid w:val="007B6332"/>
    <w:rsid w:val="007B63CA"/>
    <w:rsid w:val="007C1E1B"/>
    <w:rsid w:val="007D02F0"/>
    <w:rsid w:val="007D2276"/>
    <w:rsid w:val="007F3D78"/>
    <w:rsid w:val="00800EFA"/>
    <w:rsid w:val="008065FF"/>
    <w:rsid w:val="00811297"/>
    <w:rsid w:val="00812ED5"/>
    <w:rsid w:val="008277D9"/>
    <w:rsid w:val="008333DD"/>
    <w:rsid w:val="0084314C"/>
    <w:rsid w:val="00853A6F"/>
    <w:rsid w:val="00860282"/>
    <w:rsid w:val="00865BC8"/>
    <w:rsid w:val="00880925"/>
    <w:rsid w:val="008966F0"/>
    <w:rsid w:val="008A01A3"/>
    <w:rsid w:val="008A1522"/>
    <w:rsid w:val="008A38D3"/>
    <w:rsid w:val="008A3E8D"/>
    <w:rsid w:val="008B501F"/>
    <w:rsid w:val="008C36B5"/>
    <w:rsid w:val="008F3501"/>
    <w:rsid w:val="0090115B"/>
    <w:rsid w:val="00901FFA"/>
    <w:rsid w:val="009237C4"/>
    <w:rsid w:val="00950252"/>
    <w:rsid w:val="00954086"/>
    <w:rsid w:val="0095520E"/>
    <w:rsid w:val="00957A6A"/>
    <w:rsid w:val="00967F5D"/>
    <w:rsid w:val="00972793"/>
    <w:rsid w:val="00991CDA"/>
    <w:rsid w:val="00995259"/>
    <w:rsid w:val="00995D2E"/>
    <w:rsid w:val="009A0F95"/>
    <w:rsid w:val="009B3ADF"/>
    <w:rsid w:val="009B6E24"/>
    <w:rsid w:val="009C3B52"/>
    <w:rsid w:val="009C5BB9"/>
    <w:rsid w:val="009D632B"/>
    <w:rsid w:val="009E423B"/>
    <w:rsid w:val="009E512C"/>
    <w:rsid w:val="00A13160"/>
    <w:rsid w:val="00A134FB"/>
    <w:rsid w:val="00A13692"/>
    <w:rsid w:val="00A13FAF"/>
    <w:rsid w:val="00A16F8F"/>
    <w:rsid w:val="00A25CF1"/>
    <w:rsid w:val="00A32E0B"/>
    <w:rsid w:val="00A42218"/>
    <w:rsid w:val="00A44DE2"/>
    <w:rsid w:val="00A46904"/>
    <w:rsid w:val="00A66966"/>
    <w:rsid w:val="00A70249"/>
    <w:rsid w:val="00A77ABE"/>
    <w:rsid w:val="00A909DF"/>
    <w:rsid w:val="00AA370B"/>
    <w:rsid w:val="00AB79FD"/>
    <w:rsid w:val="00AF0E59"/>
    <w:rsid w:val="00AF2A4E"/>
    <w:rsid w:val="00AF5676"/>
    <w:rsid w:val="00B06C0A"/>
    <w:rsid w:val="00B1668C"/>
    <w:rsid w:val="00B33BEA"/>
    <w:rsid w:val="00B57C9F"/>
    <w:rsid w:val="00B716B6"/>
    <w:rsid w:val="00B845B3"/>
    <w:rsid w:val="00B85D8B"/>
    <w:rsid w:val="00B86EC5"/>
    <w:rsid w:val="00B913DB"/>
    <w:rsid w:val="00BA1F60"/>
    <w:rsid w:val="00BA497A"/>
    <w:rsid w:val="00BB3C97"/>
    <w:rsid w:val="00BC7861"/>
    <w:rsid w:val="00BD3B17"/>
    <w:rsid w:val="00BE3674"/>
    <w:rsid w:val="00BE6414"/>
    <w:rsid w:val="00C1434C"/>
    <w:rsid w:val="00C27AFF"/>
    <w:rsid w:val="00C3049A"/>
    <w:rsid w:val="00C31B1E"/>
    <w:rsid w:val="00C33A43"/>
    <w:rsid w:val="00C41556"/>
    <w:rsid w:val="00C54F98"/>
    <w:rsid w:val="00C77645"/>
    <w:rsid w:val="00CA00FF"/>
    <w:rsid w:val="00CA2E69"/>
    <w:rsid w:val="00CA35B5"/>
    <w:rsid w:val="00CD2083"/>
    <w:rsid w:val="00CD2B14"/>
    <w:rsid w:val="00CE04C3"/>
    <w:rsid w:val="00CE5BB2"/>
    <w:rsid w:val="00CE76A0"/>
    <w:rsid w:val="00CF09BA"/>
    <w:rsid w:val="00CF153F"/>
    <w:rsid w:val="00D00C4D"/>
    <w:rsid w:val="00D01A21"/>
    <w:rsid w:val="00D041A1"/>
    <w:rsid w:val="00D148C6"/>
    <w:rsid w:val="00D22D2F"/>
    <w:rsid w:val="00D30EF3"/>
    <w:rsid w:val="00D5655F"/>
    <w:rsid w:val="00D6025F"/>
    <w:rsid w:val="00D602DE"/>
    <w:rsid w:val="00D639CF"/>
    <w:rsid w:val="00D6741D"/>
    <w:rsid w:val="00D85429"/>
    <w:rsid w:val="00DA70BE"/>
    <w:rsid w:val="00DC250F"/>
    <w:rsid w:val="00DC3E77"/>
    <w:rsid w:val="00DD06FF"/>
    <w:rsid w:val="00DD5FE9"/>
    <w:rsid w:val="00DF7F79"/>
    <w:rsid w:val="00E00C7A"/>
    <w:rsid w:val="00E117F6"/>
    <w:rsid w:val="00E15E32"/>
    <w:rsid w:val="00E25D58"/>
    <w:rsid w:val="00E30920"/>
    <w:rsid w:val="00E55B68"/>
    <w:rsid w:val="00E64F02"/>
    <w:rsid w:val="00E673AA"/>
    <w:rsid w:val="00E815FC"/>
    <w:rsid w:val="00E94ECA"/>
    <w:rsid w:val="00E9708F"/>
    <w:rsid w:val="00EA7D36"/>
    <w:rsid w:val="00EB188B"/>
    <w:rsid w:val="00EC05F0"/>
    <w:rsid w:val="00EE1EA3"/>
    <w:rsid w:val="00EE405B"/>
    <w:rsid w:val="00EF69FC"/>
    <w:rsid w:val="00F01955"/>
    <w:rsid w:val="00F01F25"/>
    <w:rsid w:val="00F03697"/>
    <w:rsid w:val="00F123D5"/>
    <w:rsid w:val="00F158F4"/>
    <w:rsid w:val="00F212F1"/>
    <w:rsid w:val="00F221F7"/>
    <w:rsid w:val="00F36079"/>
    <w:rsid w:val="00F3635D"/>
    <w:rsid w:val="00F400E8"/>
    <w:rsid w:val="00F55CF3"/>
    <w:rsid w:val="00F5658C"/>
    <w:rsid w:val="00F67A14"/>
    <w:rsid w:val="00F7280E"/>
    <w:rsid w:val="00F74360"/>
    <w:rsid w:val="00F80316"/>
    <w:rsid w:val="00F86898"/>
    <w:rsid w:val="00F919D9"/>
    <w:rsid w:val="00FA5C78"/>
    <w:rsid w:val="00FB462F"/>
    <w:rsid w:val="00FC036A"/>
    <w:rsid w:val="00FC1FF2"/>
    <w:rsid w:val="00FD5395"/>
    <w:rsid w:val="00FD60B2"/>
    <w:rsid w:val="00FE16FA"/>
    <w:rsid w:val="00FE328A"/>
    <w:rsid w:val="00FE6A49"/>
    <w:rsid w:val="00FF0E51"/>
    <w:rsid w:val="00FF5A10"/>
    <w:rsid w:val="02FC03C5"/>
    <w:rsid w:val="1A9B680B"/>
    <w:rsid w:val="1EB45A9E"/>
    <w:rsid w:val="20F14630"/>
    <w:rsid w:val="24B3713F"/>
    <w:rsid w:val="34376C0F"/>
    <w:rsid w:val="6AB043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5FF1F4-8552-4348-9D80-EA8753E076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617</Words>
  <Characters>3520</Characters>
  <Lines>29</Lines>
  <Paragraphs>8</Paragraphs>
  <TotalTime>4</TotalTime>
  <ScaleCrop>false</ScaleCrop>
  <LinksUpToDate>false</LinksUpToDate>
  <CharactersWithSpaces>4129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2020-09-03T02:03:00Z</dcterms:created>
  <dc:creator>李航 null</dc:creator>
  <cp:lastModifiedBy>且歌</cp:lastModifiedBy>
  <cp:lastPrinted>2020-08-31T00:57:00Z</cp:lastPrinted>
  <dcterms:modified xsi:type="dcterms:W3CDTF">2021-06-06T05:58:52Z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485FD837FF3D452E88F0A81F56933BE0</vt:lpwstr>
  </property>
</Properties>
</file>