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wordWrap/>
        <w:overflowPunct/>
        <w:autoSpaceDE/>
        <w:autoSpaceDN/>
        <w:bidi w:val="0"/>
        <w:spacing w:line="560" w:lineRule="exact"/>
        <w:ind w:firstLine="1325" w:firstLineChars="300"/>
        <w:jc w:val="both"/>
        <w:textAlignment w:val="auto"/>
        <w:rPr>
          <w:rStyle w:val="7"/>
          <w:rFonts w:ascii="宋体" w:hAnsi="宋体" w:eastAsia="宋体"/>
          <w:b/>
          <w:kern w:val="2"/>
          <w:sz w:val="44"/>
          <w:szCs w:val="44"/>
          <w:lang w:val="en-US" w:eastAsia="zh-CN" w:bidi="ar-SA"/>
        </w:rPr>
      </w:pPr>
      <w:r>
        <w:rPr>
          <w:rStyle w:val="7"/>
          <w:rFonts w:ascii="宋体" w:hAnsi="宋体" w:eastAsia="宋体"/>
          <w:b/>
          <w:kern w:val="2"/>
          <w:sz w:val="44"/>
          <w:szCs w:val="44"/>
          <w:lang w:val="en-US" w:eastAsia="zh-CN" w:bidi="ar-SA"/>
        </w:rPr>
        <w:t>鹤城区爱国卫生运动委员会办公室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1767" w:firstLineChars="400"/>
        <w:jc w:val="both"/>
        <w:textAlignment w:val="auto"/>
        <w:rPr>
          <w:rStyle w:val="7"/>
          <w:rFonts w:ascii="宋体" w:hAnsi="宋体" w:eastAsia="宋体"/>
          <w:b/>
          <w:kern w:val="2"/>
          <w:sz w:val="44"/>
          <w:szCs w:val="44"/>
          <w:lang w:val="en-US" w:eastAsia="zh-CN" w:bidi="ar-SA"/>
        </w:rPr>
      </w:pPr>
      <w:r>
        <w:rPr>
          <w:rStyle w:val="7"/>
          <w:rFonts w:ascii="宋体" w:hAnsi="宋体" w:eastAsia="宋体"/>
          <w:b/>
          <w:kern w:val="2"/>
          <w:sz w:val="44"/>
          <w:szCs w:val="44"/>
          <w:lang w:val="en-US" w:eastAsia="zh-CN" w:bidi="ar-SA"/>
        </w:rPr>
        <w:t>2020年度部门预算公开说明</w:t>
      </w:r>
    </w:p>
    <w:p>
      <w:pPr>
        <w:kinsoku/>
        <w:wordWrap/>
        <w:overflowPunct/>
        <w:autoSpaceDE/>
        <w:autoSpaceDN/>
        <w:bidi w:val="0"/>
        <w:spacing w:line="480" w:lineRule="auto"/>
        <w:ind w:firstLine="640" w:firstLineChars="200"/>
        <w:jc w:val="left"/>
        <w:textAlignment w:val="auto"/>
        <w:rPr>
          <w:rStyle w:val="7"/>
          <w:rFonts w:ascii="黑体" w:eastAsia="黑体"/>
          <w:kern w:val="2"/>
          <w:sz w:val="32"/>
          <w:szCs w:val="32"/>
          <w:lang w:val="en-US" w:eastAsia="zh-CN" w:bidi="ar-SA"/>
        </w:rPr>
      </w:pPr>
    </w:p>
    <w:p>
      <w:pPr>
        <w:kinsoku/>
        <w:wordWrap/>
        <w:overflowPunct/>
        <w:autoSpaceDE/>
        <w:autoSpaceDN/>
        <w:bidi w:val="0"/>
        <w:spacing w:line="480" w:lineRule="auto"/>
        <w:ind w:firstLine="640" w:firstLineChars="200"/>
        <w:jc w:val="left"/>
        <w:textAlignment w:val="auto"/>
        <w:rPr>
          <w:rStyle w:val="7"/>
          <w:rFonts w:ascii="黑体" w:eastAsia="黑体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7" w:firstLineChars="196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目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</w:t>
      </w:r>
      <w:r>
        <w:rPr>
          <w:rFonts w:hint="eastAsia" w:ascii="黑体" w:eastAsia="黑体"/>
          <w:sz w:val="32"/>
          <w:szCs w:val="32"/>
        </w:rPr>
        <w:t>、部门预算安排情况说明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收入预算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基本支出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3.</w:t>
      </w:r>
      <w:r>
        <w:rPr>
          <w:rFonts w:hint="eastAsia" w:ascii="仿宋_GB2312" w:eastAsia="仿宋_GB2312"/>
          <w:sz w:val="32"/>
          <w:szCs w:val="32"/>
          <w:lang w:eastAsia="zh-CN"/>
        </w:rPr>
        <w:t>政府性基金支出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年度“三公”经费预算情况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（五）</w:t>
      </w:r>
      <w:r>
        <w:rPr>
          <w:rFonts w:hint="eastAsia" w:eastAsia="仿宋_GB2312"/>
          <w:b w:val="0"/>
          <w:bCs w:val="0"/>
          <w:color w:val="auto"/>
          <w:sz w:val="32"/>
          <w:szCs w:val="32"/>
          <w:lang w:val="en-US" w:eastAsia="zh-CN"/>
        </w:rPr>
        <w:t>国有资产占用情况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（六）预算绩效管理情况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hint="eastAsia" w:ascii="黑体" w:eastAsia="黑体"/>
          <w:sz w:val="32"/>
          <w:szCs w:val="32"/>
        </w:rPr>
        <w:t>、专业名词解释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hint="eastAsia" w:ascii="宋体" w:hAnsi="宋体"/>
          <w:b/>
          <w:sz w:val="44"/>
          <w:szCs w:val="44"/>
        </w:rPr>
      </w:pPr>
      <w:r>
        <w:rPr>
          <w:rFonts w:hint="eastAsia" w:ascii="黑体" w:eastAsia="黑体"/>
          <w:sz w:val="32"/>
          <w:szCs w:val="32"/>
          <w:lang w:eastAsia="zh-CN"/>
        </w:rPr>
        <w:t>四</w:t>
      </w:r>
      <w:r>
        <w:rPr>
          <w:rFonts w:hint="eastAsia" w:ascii="黑体" w:eastAsia="黑体"/>
          <w:sz w:val="32"/>
          <w:szCs w:val="32"/>
        </w:rPr>
        <w:t>、</w:t>
      </w:r>
      <w:r>
        <w:rPr>
          <w:rFonts w:hint="eastAsia" w:ascii="黑体" w:eastAsia="黑体"/>
          <w:sz w:val="32"/>
          <w:szCs w:val="32"/>
          <w:lang w:eastAsia="zh-CN"/>
        </w:rPr>
        <w:t>部门预算表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1、部门收支总体情况表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7、一般公共预算“三公”经费支出表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8、政府性基金预算支出情况表</w:t>
      </w:r>
      <w:r>
        <w:rPr>
          <w:rFonts w:hint="eastAsia"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widowControl/>
        <w:jc w:val="both"/>
        <w:textAlignment w:val="baseline"/>
        <w:rPr>
          <w:rStyle w:val="7"/>
          <w:rFonts w:ascii="仿宋_GB2312" w:eastAsia="仿宋_GB2312" w:cs="Times New Roman"/>
          <w:b/>
          <w:bCs/>
          <w:kern w:val="0"/>
          <w:sz w:val="32"/>
          <w:szCs w:val="32"/>
          <w:lang w:val="en-US" w:eastAsia="zh-CN" w:bidi="ar-SA"/>
        </w:rPr>
      </w:pPr>
    </w:p>
    <w:p>
      <w:pPr>
        <w:widowControl/>
        <w:jc w:val="both"/>
        <w:textAlignment w:val="baseline"/>
        <w:rPr>
          <w:rStyle w:val="7"/>
          <w:rFonts w:ascii="仿宋_GB2312" w:eastAsia="仿宋_GB2312" w:cs="Times New Roman"/>
          <w:b/>
          <w:bCs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 w:cs="Times New Roman"/>
          <w:b/>
          <w:bCs/>
          <w:kern w:val="0"/>
          <w:sz w:val="32"/>
          <w:szCs w:val="32"/>
          <w:lang w:val="en-US" w:eastAsia="zh-CN" w:bidi="ar-SA"/>
        </w:rPr>
        <w:t>一、部门职责及机构设置情况</w:t>
      </w:r>
    </w:p>
    <w:p>
      <w:pPr>
        <w:ind w:firstLine="640" w:firstLineChars="200"/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（一）部门职责</w:t>
      </w:r>
    </w:p>
    <w:p>
      <w:pPr>
        <w:ind w:firstLine="640" w:firstLineChars="200"/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主要工作职责：贯彻执行党中央关于爱国卫生健康工作的方针、政策和决策部署；贯彻执行国民健康政策工作政策和法律法规和工作；开展除四害、健康教育工作及农村改厕工作，维护城乡环境卫生工作。</w:t>
      </w:r>
    </w:p>
    <w:p>
      <w:pPr>
        <w:ind w:firstLine="640" w:firstLineChars="200"/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（二）机构设置</w:t>
      </w:r>
    </w:p>
    <w:p>
      <w:pPr>
        <w:ind w:firstLine="640" w:firstLineChars="200"/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鹤城区爱国卫生运动委员会办公室是全额拨款的参公事业单位，内设 5个职能股室：综合股、健康教育股、病媒物防治股、城市爱卫股、农村爱卫股。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spacing w:line="560" w:lineRule="exact"/>
        <w:ind w:firstLine="640" w:firstLineChars="200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32"/>
        </w:rPr>
        <w:t>2020年部门</w:t>
      </w:r>
      <w:r>
        <w:rPr>
          <w:rFonts w:hint="eastAsia" w:ascii="仿宋" w:hAnsi="仿宋" w:eastAsia="仿宋"/>
          <w:sz w:val="32"/>
          <w:szCs w:val="32"/>
          <w:lang w:eastAsia="zh-CN"/>
        </w:rPr>
        <w:t>只有本级，没有其他预算单位，因此本部门仅含本级预算。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黑体" w:eastAsia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eastAsia="黑体"/>
          <w:kern w:val="2"/>
          <w:sz w:val="32"/>
          <w:szCs w:val="32"/>
          <w:lang w:val="en-US" w:eastAsia="zh-CN" w:bidi="ar-SA"/>
        </w:rPr>
        <w:t>二、部门预算安排情况说明</w:t>
      </w:r>
    </w:p>
    <w:p>
      <w:pPr>
        <w:ind w:firstLine="640" w:firstLineChars="200"/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（一）介绍部门预算基本情况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 xml:space="preserve"> 1．年度收支预算情况。</w:t>
      </w:r>
    </w:p>
    <w:p>
      <w:pPr>
        <w:kinsoku/>
        <w:wordWrap/>
        <w:overflowPunct/>
        <w:autoSpaceDE/>
        <w:autoSpaceDN/>
        <w:bidi w:val="0"/>
        <w:spacing w:line="560" w:lineRule="exact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 xml:space="preserve">    ①收入预算，2020年年初预算数169.42万元，其中，一般公共预算拨款169.42万元，政府性基金预算拨款0万元，纳入财政专户管理的非税收入拨款0万元，国有资本经营预算拨款0万元，事业收入拨款0万元。收入较去年减少63.57万元，主要原因是本年部分预算纳入区政府办的预算管理。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②支出预算，2020年年初预算数169.42万元，其中，支出较去年减少63.57万元，主要原因是本年部分预算纳入区政府办的预算管理。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 xml:space="preserve">  2．年度一般公共预算财政拨款支出情况</w:t>
      </w:r>
    </w:p>
    <w:p>
      <w:pPr>
        <w:kinsoku/>
        <w:wordWrap/>
        <w:overflowPunct/>
        <w:autoSpaceDE/>
        <w:autoSpaceDN/>
        <w:bidi w:val="0"/>
        <w:spacing w:line="560" w:lineRule="exact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 xml:space="preserve">    ①基本支出：2020年年初预算数为109.42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②项目支出：2020年年初预算数为60万元，是指单位为完成特定行政工作任务或事业发展目标而发生的支出，包括有产业发展引导类0万元、专项业务费用类60元。</w:t>
      </w:r>
    </w:p>
    <w:p>
      <w:pPr>
        <w:kinsoku/>
        <w:wordWrap/>
        <w:overflowPunct/>
        <w:autoSpaceDE/>
        <w:autoSpaceDN/>
        <w:bidi w:val="0"/>
        <w:spacing w:line="480" w:lineRule="auto"/>
        <w:ind w:firstLine="640" w:firstLineChars="200"/>
        <w:jc w:val="left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3.政府性基金支出</w:t>
      </w:r>
    </w:p>
    <w:p>
      <w:pPr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pacing w:line="500" w:lineRule="auto"/>
        <w:ind w:left="0" w:leftChars="0" w:right="0" w:rightChars="0" w:firstLine="640" w:firstLineChars="200"/>
        <w:jc w:val="left"/>
        <w:textAlignment w:val="auto"/>
        <w:rPr>
          <w:rStyle w:val="7"/>
          <w:rFonts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7"/>
          <w:rFonts w:eastAsia="仿宋_GB2312"/>
          <w:color w:val="000000"/>
          <w:kern w:val="2"/>
          <w:sz w:val="32"/>
          <w:szCs w:val="32"/>
          <w:lang w:val="en-US" w:eastAsia="zh-CN" w:bidi="ar-SA"/>
        </w:rPr>
        <w:t>2020年无政府性基金支出。2020年政府性基金支出为0万元。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320" w:firstLineChars="10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(二）年度“三公”经费预算情况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2020年“三公”经费一般公共财政拨款预算数为1.5万元，其中，公务接待费1.5万元，公务用车购置及运行费0万元（其中：公务用车购置费是0万元，公务用车运行费0万元），因公出国（境）费0万元。2020年“三公”经费预算较2019年预算数减少0.5万元，下降25%，主要原因是厉行勤俭节约，杜绝铺张浪费，压减三公经费支出。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（三）年度机关运行经费预算情况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2020年卫生健康局部门机关运行经费一般公共预算拨款14.67万元</w:t>
      </w:r>
      <w:r>
        <w:rPr>
          <w:rStyle w:val="7"/>
          <w:rFonts w:ascii="仿宋_GB2312" w:eastAsia="仿宋_GB2312"/>
          <w:color w:val="000000"/>
          <w:kern w:val="2"/>
          <w:sz w:val="32"/>
          <w:szCs w:val="32"/>
          <w:lang w:val="en-US" w:eastAsia="zh-CN" w:bidi="ar-SA"/>
        </w:rPr>
        <w:t>（其中：办公费5万元、印刷费3万元，公务接待费1.5万、工会费4万、其他商品服务支出1.17万），相比2019年预算数减少3.68万元，减少20%。原因为</w:t>
      </w: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本年部分预算纳入区政府</w:t>
      </w:r>
      <w:r>
        <w:rPr>
          <w:rStyle w:val="7"/>
          <w:rFonts w:ascii="仿宋_GB2312" w:eastAsia="仿宋_GB2312"/>
          <w:color w:val="000000"/>
          <w:kern w:val="2"/>
          <w:sz w:val="32"/>
          <w:szCs w:val="32"/>
          <w:lang w:val="en-US" w:eastAsia="zh-CN" w:bidi="ar-SA"/>
        </w:rPr>
        <w:t>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rStyle w:val="7"/>
          <w:rFonts w:ascii="仿宋_GB2312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（四）年度政府采购支出预算情况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color w:val="000000"/>
          <w:kern w:val="2"/>
          <w:sz w:val="32"/>
          <w:szCs w:val="32"/>
          <w:lang w:val="en-US" w:eastAsia="zh-CN" w:bidi="ar-SA"/>
        </w:rPr>
        <w:t>2020年政府采购预算总额40万元，其中，政府采购货物设备预算40万元，政府采购工程预算0万元、政府采购服务预算0万元。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color w:val="000000"/>
          <w:kern w:val="2"/>
          <w:sz w:val="32"/>
          <w:szCs w:val="32"/>
          <w:lang w:val="en-US" w:eastAsia="zh-CN" w:bidi="ar-SA"/>
        </w:rPr>
        <w:t>（五）国有资产占用情况</w:t>
      </w:r>
    </w:p>
    <w:p>
      <w:pPr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pacing w:line="500" w:lineRule="auto"/>
        <w:ind w:left="0" w:leftChars="0" w:right="0" w:rightChars="0" w:firstLine="640" w:firstLineChars="200"/>
        <w:jc w:val="left"/>
        <w:textAlignment w:val="auto"/>
        <w:rPr>
          <w:rStyle w:val="7"/>
          <w:rFonts w:eastAsia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Style w:val="7"/>
          <w:rFonts w:eastAsia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1.截至2019年12月31日，本部门共有车辆</w:t>
      </w:r>
      <w:r>
        <w:rPr>
          <w:rStyle w:val="7"/>
          <w:rFonts w:eastAsia="仿宋_GB2312"/>
          <w:color w:val="000000"/>
          <w:kern w:val="2"/>
          <w:sz w:val="32"/>
          <w:szCs w:val="32"/>
          <w:lang w:val="en-US" w:eastAsia="zh-CN" w:bidi="ar-SA"/>
        </w:rPr>
        <w:t>0</w:t>
      </w:r>
      <w:r>
        <w:rPr>
          <w:rStyle w:val="7"/>
          <w:rFonts w:eastAsia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辆，其中，一般公务用车</w:t>
      </w:r>
      <w:r>
        <w:rPr>
          <w:rStyle w:val="7"/>
          <w:rFonts w:eastAsia="仿宋_GB2312"/>
          <w:color w:val="000000"/>
          <w:kern w:val="2"/>
          <w:sz w:val="32"/>
          <w:szCs w:val="32"/>
          <w:lang w:val="en-US" w:eastAsia="zh-CN" w:bidi="ar-SA"/>
        </w:rPr>
        <w:t>0</w:t>
      </w:r>
      <w:r>
        <w:rPr>
          <w:rStyle w:val="7"/>
          <w:rFonts w:eastAsia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辆、一般执法执勤用车</w:t>
      </w:r>
      <w:r>
        <w:rPr>
          <w:rStyle w:val="7"/>
          <w:rFonts w:eastAsia="仿宋_GB2312"/>
          <w:color w:val="000000"/>
          <w:kern w:val="2"/>
          <w:sz w:val="32"/>
          <w:szCs w:val="32"/>
          <w:lang w:val="en-US" w:eastAsia="zh-CN" w:bidi="ar-SA"/>
        </w:rPr>
        <w:t>0</w:t>
      </w:r>
      <w:r>
        <w:rPr>
          <w:rStyle w:val="7"/>
          <w:rFonts w:eastAsia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辆、</w:t>
      </w:r>
      <w:r>
        <w:rPr>
          <w:rStyle w:val="7"/>
          <w:rFonts w:eastAsia="仿宋_GB2312"/>
          <w:color w:val="000000"/>
          <w:kern w:val="0"/>
          <w:sz w:val="32"/>
          <w:szCs w:val="32"/>
          <w:lang w:val="en-US" w:eastAsia="zh-CN" w:bidi="ar-SA"/>
        </w:rPr>
        <w:t>特种专业技术用车</w:t>
      </w:r>
      <w:r>
        <w:rPr>
          <w:rStyle w:val="7"/>
          <w:rFonts w:eastAsia="仿宋_GB2312"/>
          <w:color w:val="000000"/>
          <w:kern w:val="2"/>
          <w:sz w:val="32"/>
          <w:szCs w:val="32"/>
          <w:lang w:val="en-US" w:eastAsia="zh-CN" w:bidi="ar-SA"/>
        </w:rPr>
        <w:t>0</w:t>
      </w:r>
      <w:r>
        <w:rPr>
          <w:rStyle w:val="7"/>
          <w:rFonts w:eastAsia="仿宋_GB2312"/>
          <w:color w:val="000000"/>
          <w:kern w:val="0"/>
          <w:sz w:val="32"/>
          <w:szCs w:val="32"/>
          <w:lang w:val="en-US" w:eastAsia="zh-CN" w:bidi="ar-SA"/>
        </w:rPr>
        <w:t>辆、其他用车</w:t>
      </w:r>
      <w:r>
        <w:rPr>
          <w:rStyle w:val="7"/>
          <w:rFonts w:eastAsia="仿宋_GB2312"/>
          <w:color w:val="000000"/>
          <w:kern w:val="2"/>
          <w:sz w:val="32"/>
          <w:szCs w:val="32"/>
          <w:lang w:val="en-US" w:eastAsia="zh-CN" w:bidi="ar-SA"/>
        </w:rPr>
        <w:t>0</w:t>
      </w:r>
      <w:r>
        <w:rPr>
          <w:rStyle w:val="7"/>
          <w:rFonts w:eastAsia="仿宋_GB2312"/>
          <w:color w:val="000000"/>
          <w:kern w:val="0"/>
          <w:sz w:val="32"/>
          <w:szCs w:val="32"/>
          <w:lang w:val="en-US" w:eastAsia="zh-CN" w:bidi="ar-SA"/>
        </w:rPr>
        <w:t>辆</w:t>
      </w:r>
      <w:r>
        <w:rPr>
          <w:rStyle w:val="7"/>
          <w:rFonts w:eastAsia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。</w:t>
      </w:r>
      <w:r>
        <w:rPr>
          <w:rStyle w:val="7"/>
          <w:rFonts w:eastAsia="仿宋_GB2312"/>
          <w:color w:val="000000"/>
          <w:kern w:val="0"/>
          <w:sz w:val="32"/>
          <w:szCs w:val="32"/>
          <w:lang w:val="en-US" w:eastAsia="zh-CN" w:bidi="ar-SA"/>
        </w:rPr>
        <w:t>单位价值50 万元以上通用设备0台（套），单价100 万元以上专用设备0台（套）。</w:t>
      </w:r>
    </w:p>
    <w:p>
      <w:pPr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pacing w:line="500" w:lineRule="auto"/>
        <w:ind w:left="0" w:leftChars="0" w:right="0" w:rightChars="0" w:firstLine="643" w:firstLineChars="200"/>
        <w:jc w:val="left"/>
        <w:textAlignment w:val="auto"/>
        <w:rPr>
          <w:rStyle w:val="7"/>
          <w:rFonts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7"/>
          <w:rFonts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截至2019年12月31日，本部门无车辆，无50万元以上的专用设备。</w:t>
      </w:r>
    </w:p>
    <w:p>
      <w:pPr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pacing w:line="500" w:lineRule="auto"/>
        <w:ind w:left="0" w:leftChars="0" w:right="0" w:rightChars="0" w:firstLine="640" w:firstLineChars="200"/>
        <w:jc w:val="left"/>
        <w:textAlignment w:val="auto"/>
        <w:rPr>
          <w:rStyle w:val="7"/>
          <w:rFonts w:eastAsia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Style w:val="7"/>
          <w:rFonts w:eastAsia="仿宋_GB2312"/>
          <w:color w:val="000000"/>
          <w:kern w:val="0"/>
          <w:sz w:val="32"/>
          <w:szCs w:val="32"/>
          <w:lang w:val="en-US" w:eastAsia="zh-CN" w:bidi="ar-SA"/>
        </w:rPr>
        <w:t>2.2020年，本部门拟新增资产具体为：公务用车</w:t>
      </w:r>
      <w:r>
        <w:rPr>
          <w:rStyle w:val="7"/>
          <w:rFonts w:eastAsia="仿宋_GB2312"/>
          <w:color w:val="000000"/>
          <w:kern w:val="2"/>
          <w:sz w:val="32"/>
          <w:szCs w:val="32"/>
          <w:lang w:val="en-US" w:eastAsia="zh-CN" w:bidi="ar-SA"/>
        </w:rPr>
        <w:t>0辆，价值0万元；单价50万元以上通用设备0台（套）；单价100万元以上的专用设备0</w:t>
      </w:r>
      <w:r>
        <w:rPr>
          <w:rStyle w:val="7"/>
          <w:rFonts w:eastAsia="仿宋_GB2312"/>
          <w:color w:val="000000"/>
          <w:kern w:val="0"/>
          <w:sz w:val="32"/>
          <w:szCs w:val="32"/>
          <w:lang w:val="en-US" w:eastAsia="zh-CN" w:bidi="ar-SA"/>
        </w:rPr>
        <w:t>台（套）。</w:t>
      </w:r>
    </w:p>
    <w:p>
      <w:pPr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pacing w:line="500" w:lineRule="auto"/>
        <w:ind w:left="0" w:leftChars="0" w:right="0" w:rightChars="0" w:firstLine="643" w:firstLineChars="200"/>
        <w:jc w:val="left"/>
        <w:textAlignment w:val="auto"/>
        <w:rPr>
          <w:rStyle w:val="7"/>
          <w:rFonts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7"/>
          <w:rFonts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截至2020年，本部门无新增车辆，无新增50万元以上的通用设备和专用设备。</w:t>
      </w:r>
    </w:p>
    <w:p>
      <w:pPr>
        <w:numPr>
          <w:ilvl w:val="0"/>
          <w:numId w:val="1"/>
        </w:num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预算绩效管理情况</w:t>
      </w:r>
    </w:p>
    <w:p>
      <w:pPr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pacing w:line="500" w:lineRule="auto"/>
        <w:ind w:left="0" w:leftChars="0" w:right="0" w:rightChars="0" w:firstLine="640" w:firstLineChars="200"/>
        <w:jc w:val="left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按照我区预算绩效管理工作的总体要求，2020年我单位整体支出</w:t>
      </w: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169.42</w:t>
      </w: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万元，全部实行整体支出绩效目标管理，编报绩效目标的项目</w:t>
      </w:r>
      <w:r>
        <w:rPr>
          <w:rStyle w:val="7"/>
          <w:rFonts w:eastAsia="仿宋_GB2312"/>
          <w:kern w:val="2"/>
          <w:sz w:val="32"/>
          <w:szCs w:val="32"/>
          <w:lang w:val="en-US" w:eastAsia="zh-CN" w:bidi="ar-SA"/>
        </w:rPr>
        <w:t>2</w:t>
      </w: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个，涉及项目支出</w:t>
      </w: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60</w:t>
      </w: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万元，其中</w:t>
      </w:r>
      <w:r>
        <w:rPr>
          <w:rStyle w:val="7"/>
          <w:rFonts w:eastAsia="仿宋_GB2312"/>
          <w:kern w:val="2"/>
          <w:sz w:val="32"/>
          <w:szCs w:val="32"/>
          <w:lang w:val="en-US" w:eastAsia="zh-CN" w:bidi="ar-SA"/>
        </w:rPr>
        <w:t>专项业务费用类项目2个，共60</w:t>
      </w: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万元，</w:t>
      </w:r>
      <w:r>
        <w:rPr>
          <w:rStyle w:val="7"/>
          <w:rFonts w:eastAsia="仿宋_GB2312"/>
          <w:kern w:val="2"/>
          <w:sz w:val="32"/>
          <w:szCs w:val="32"/>
          <w:lang w:val="en-US" w:eastAsia="zh-CN" w:bidi="ar-SA"/>
        </w:rPr>
        <w:t>基本建设类项目0个，共0</w:t>
      </w: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万元，</w:t>
      </w:r>
      <w:r>
        <w:rPr>
          <w:rStyle w:val="7"/>
          <w:rFonts w:eastAsia="仿宋_GB2312"/>
          <w:kern w:val="2"/>
          <w:sz w:val="32"/>
          <w:szCs w:val="32"/>
          <w:lang w:val="en-US" w:eastAsia="zh-CN" w:bidi="ar-SA"/>
        </w:rPr>
        <w:t>对个人和家庭补助类项目0个，共0</w:t>
      </w: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万元，产业发展引导类项目</w:t>
      </w:r>
      <w:r>
        <w:rPr>
          <w:rStyle w:val="7"/>
          <w:rFonts w:eastAsia="仿宋_GB2312"/>
          <w:kern w:val="2"/>
          <w:sz w:val="32"/>
          <w:szCs w:val="32"/>
          <w:lang w:val="en-US" w:eastAsia="zh-CN" w:bidi="ar-SA"/>
        </w:rPr>
        <w:t>0个，共0</w:t>
      </w: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万元</w:t>
      </w:r>
      <w:r>
        <w:rPr>
          <w:rStyle w:val="7"/>
          <w:rFonts w:eastAsia="仿宋_GB2312"/>
          <w:kern w:val="2"/>
          <w:sz w:val="32"/>
          <w:szCs w:val="32"/>
          <w:lang w:val="en-US" w:eastAsia="zh-CN" w:bidi="ar-SA"/>
        </w:rPr>
        <w:t>，</w:t>
      </w:r>
      <w:r>
        <w:rPr>
          <w:rStyle w:val="7"/>
          <w:rFonts w:eastAsia="仿宋_GB2312"/>
          <w:b w:val="0"/>
          <w:bCs w:val="0"/>
          <w:kern w:val="2"/>
          <w:sz w:val="32"/>
          <w:szCs w:val="32"/>
          <w:lang w:val="en-US" w:eastAsia="zh-CN" w:bidi="ar-SA"/>
        </w:rPr>
        <w:t>全部实行项目支出绩效目标管理。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黑体" w:eastAsia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eastAsia="黑体"/>
          <w:kern w:val="2"/>
          <w:sz w:val="32"/>
          <w:szCs w:val="32"/>
          <w:lang w:val="en-US" w:eastAsia="zh-CN" w:bidi="ar-SA"/>
        </w:rPr>
        <w:t>三、专业名词解释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位公务出国(境)费、国外城市间交通费、食宿费等支出。</w:t>
      </w:r>
    </w:p>
    <w:p>
      <w:pPr>
        <w:ind w:firstLine="640" w:firstLineChars="200"/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3.本部门（单位）的相关专业名词解释</w:t>
      </w:r>
      <w:r>
        <w:rPr>
          <w:rStyle w:val="7"/>
          <w:rFonts w:hint="eastAsia" w:ascii="仿宋_GB2312" w:eastAsia="仿宋_GB2312"/>
          <w:kern w:val="2"/>
          <w:sz w:val="32"/>
          <w:szCs w:val="32"/>
          <w:lang w:val="en-US" w:eastAsia="zh-CN" w:bidi="ar-SA"/>
        </w:rPr>
        <w:t>无</w:t>
      </w:r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。</w:t>
      </w:r>
    </w:p>
    <w:p>
      <w:pPr>
        <w:adjustRightInd w:val="0"/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四、部门预算表 （详见附表）</w:t>
      </w:r>
    </w:p>
    <w:p>
      <w:pPr>
        <w:ind w:firstLine="640" w:firstLineChars="200"/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headerReference r:id="rId3" w:type="default"/>
      <w:pgSz w:w="11906" w:h="16838"/>
      <w:pgMar w:top="1440" w:right="1780" w:bottom="1440" w:left="178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snapToGrid w:val="0"/>
      <w:spacing w:line="240" w:lineRule="auto"/>
      <w:jc w:val="both"/>
      <w:textAlignment w:val="baseline"/>
      <w:rPr>
        <w:rStyle w:val="7"/>
        <w:rFonts w:eastAsia="宋体"/>
        <w:kern w:val="2"/>
        <w:sz w:val="18"/>
        <w:szCs w:val="24"/>
        <w:lang w:val="en-US" w:eastAsia="zh-CN" w:bidi="ar-SA"/>
      </w:rPr>
    </w:pPr>
    <w:r>
      <w:rPr>
        <w:rStyle w:val="7"/>
        <w:rFonts w:eastAsia="宋体"/>
        <w:kern w:val="2"/>
        <w:sz w:val="18"/>
        <w:szCs w:val="24"/>
        <w:lang w:val="en-US" w:eastAsia="zh-CN" w:bidi="ar-SA"/>
      </w:rPr>
      <w:pict>
        <v:shape id="_x0000_s4097" o:spid="_x0000_s4097" o:spt="202" type="#_x0000_t202" style="position:absolute;left:0pt;margin-top:0pt;height:144pt;width:144pt;mso-position-horizontal:left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>
            <w:txbxContent>
              <w:p>
                <w:pPr>
                  <w:pStyle w:val="3"/>
                  <w:widowControl/>
                  <w:pBdr>
                    <w:top w:val="none" w:color="000000" w:sz="0" w:space="1"/>
                    <w:left w:val="none" w:color="000000" w:sz="0" w:space="4"/>
                    <w:bottom w:val="none" w:color="000000" w:sz="0" w:space="1"/>
                    <w:right w:val="none" w:color="000000" w:sz="0" w:space="4"/>
                  </w:pBdr>
                  <w:snapToGrid w:val="0"/>
                  <w:spacing w:line="240" w:lineRule="auto"/>
                  <w:jc w:val="both"/>
                  <w:textAlignment w:val="baseline"/>
                  <w:rPr>
                    <w:rStyle w:val="7"/>
                    <w:rFonts w:eastAsia="宋体"/>
                    <w:kern w:val="2"/>
                    <w:sz w:val="18"/>
                    <w:szCs w:val="24"/>
                    <w:lang w:val="en-US" w:eastAsia="zh-CN" w:bidi="ar-SA"/>
                  </w:rPr>
                </w:pPr>
              </w:p>
              <w:p>
                <w:pPr>
                  <w:jc w:val="both"/>
                  <w:textAlignment w:val="baseline"/>
                  <w:rPr>
                    <w:rStyle w:val="7"/>
                    <w:rFonts w:eastAsia="宋体"/>
                    <w:kern w:val="2"/>
                    <w:sz w:val="21"/>
                    <w:szCs w:val="24"/>
                    <w:lang w:val="en-US" w:eastAsia="zh-CN" w:bidi="ar-SA"/>
                  </w:rPr>
                </w:pPr>
              </w:p>
            </w:txbxContent>
          </v:textbox>
        </v:shape>
      </w:pict>
    </w:r>
    <w:r>
      <w:rPr>
        <w:rStyle w:val="7"/>
        <w:rFonts w:eastAsia="宋体"/>
        <w:kern w:val="2"/>
        <w:sz w:val="18"/>
        <w:szCs w:val="24"/>
        <w:lang w:val="en-US" w:eastAsia="zh-CN" w:bidi="ar-SA"/>
      </w:rPr>
      <w:t>附件3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8E993"/>
    <w:multiLevelType w:val="singleLevel"/>
    <w:tmpl w:val="0068E993"/>
    <w:lvl w:ilvl="0" w:tentative="0">
      <w:start w:val="6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7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hdrShapeDefaults>
    <o:shapelayout v:ext="edit">
      <o:idmap v:ext="edit" data="3,4"/>
    </o:shapelayout>
  </w:hdrShapeDefaults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B653997"/>
    <w:rsid w:val="11D02730"/>
    <w:rsid w:val="2C0D5EB5"/>
    <w:rsid w:val="37B44FF4"/>
    <w:rsid w:val="420C34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eastAsia="宋体"/>
      <w:kern w:val="2"/>
      <w:sz w:val="18"/>
      <w:szCs w:val="24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line="240" w:lineRule="auto"/>
      <w:jc w:val="both"/>
      <w:textAlignment w:val="baseline"/>
    </w:pPr>
    <w:rPr>
      <w:rFonts w:eastAsia="宋体"/>
      <w:kern w:val="2"/>
      <w:sz w:val="18"/>
      <w:szCs w:val="24"/>
      <w:lang w:val="en-US" w:eastAsia="zh-CN" w:bidi="ar-SA"/>
    </w:rPr>
  </w:style>
  <w:style w:type="character" w:styleId="6">
    <w:name w:val="FollowedHyperlink"/>
    <w:basedOn w:val="7"/>
    <w:link w:val="1"/>
    <w:qFormat/>
    <w:uiPriority w:val="0"/>
    <w:rPr>
      <w:color w:val="000000"/>
      <w:sz w:val="18"/>
      <w:szCs w:val="18"/>
    </w:rPr>
  </w:style>
  <w:style w:type="character" w:customStyle="1" w:styleId="7">
    <w:name w:val="NormalCharacter"/>
    <w:link w:val="1"/>
    <w:semiHidden/>
    <w:qFormat/>
    <w:uiPriority w:val="0"/>
  </w:style>
  <w:style w:type="character" w:styleId="8">
    <w:name w:val="Hyperlink"/>
    <w:basedOn w:val="7"/>
    <w:link w:val="1"/>
    <w:qFormat/>
    <w:uiPriority w:val="0"/>
    <w:rPr>
      <w:color w:val="000000"/>
      <w:sz w:val="18"/>
      <w:szCs w:val="18"/>
    </w:rPr>
  </w:style>
  <w:style w:type="table" w:customStyle="1" w:styleId="9">
    <w:name w:val="TableNormal"/>
    <w:semiHidden/>
    <w:qFormat/>
    <w:uiPriority w:val="0"/>
  </w:style>
  <w:style w:type="table" w:customStyle="1" w:styleId="10">
    <w:name w:val="TableGrid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Office_11.1.0.10577_F1E327BC-269C-435d-A152-05C5408002CA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2020-09-09T07:23:00Z</dcterms:created>
  <dc:creator>Administrator</dc:creator>
  <cp:lastModifiedBy>lmy</cp:lastModifiedBy>
  <dcterms:modified xsi:type="dcterms:W3CDTF">2021-06-07T00:50:52Z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EAFF80F04CC54C5CB23FE10FBC2DFDA5</vt:lpwstr>
  </property>
</Properties>
</file>