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eastAsia="方正小标宋_GBK" w:hAnsi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hint="eastAsia"/>
          <w:bCs/>
          <w:kern w:val="0"/>
          <w:sz w:val="72"/>
          <w:szCs w:val="72"/>
        </w:rPr>
        <w:t>鹤城区文学艺术界联合会</w:t>
      </w:r>
    </w:p>
    <w:p w:rsidR="00AA0C11" w:rsidRDefault="00AA0C11">
      <w:pPr>
        <w:widowControl/>
        <w:jc w:val="center"/>
        <w:rPr>
          <w:rFonts w:ascii="Times New Roman" w:eastAsia="方正小标宋_GBK" w:hAnsi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/>
          <w:bCs/>
          <w:kern w:val="0"/>
          <w:sz w:val="72"/>
          <w:szCs w:val="72"/>
        </w:rPr>
        <w:t>2018</w:t>
      </w:r>
      <w:r>
        <w:rPr>
          <w:rFonts w:ascii="Times New Roman" w:eastAsia="方正小标宋_GBK" w:hAnsi="Times New Roman" w:hint="eastAsia"/>
          <w:bCs/>
          <w:kern w:val="0"/>
          <w:sz w:val="72"/>
          <w:szCs w:val="72"/>
        </w:rPr>
        <w:t>年度部门决算</w:t>
      </w: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eastAsia="方正小标宋_GBK" w:hAnsi="Times New Roman"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eastAsia="方正小标宋_GBK" w:hAnsi="Times New Roman"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Times New Roman" w:eastAsia="方正小标宋_GBK" w:hAnsi="Times New Roman"/>
          <w:bCs/>
          <w:kern w:val="0"/>
          <w:sz w:val="44"/>
          <w:szCs w:val="44"/>
        </w:rPr>
      </w:pPr>
    </w:p>
    <w:p w:rsidR="00AA0C11" w:rsidRDefault="00AA0C11">
      <w:pPr>
        <w:widowControl/>
        <w:jc w:val="center"/>
        <w:rPr>
          <w:rFonts w:ascii="仿宋_GB2312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方正小标宋_GBK" w:hAnsi="Times New Roman" w:hint="eastAsia"/>
          <w:bCs/>
          <w:kern w:val="0"/>
          <w:sz w:val="44"/>
          <w:szCs w:val="44"/>
        </w:rPr>
        <w:lastRenderedPageBreak/>
        <w:t>目录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第一部分鹤城区文学艺术界联合会概况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一、部门职责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二、机构设置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第二部分鹤城区文学艺术界联合会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经费支出决算表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八、政府性基金预算财政拨款收入支出决算表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第三部分鹤城区文学艺术界联合会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一、收入支出决算总体情况说明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四、财政拨款收入支出决算总体情况说明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lastRenderedPageBreak/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经费支出情况决算情况说明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八、预算绩效情况说明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九、其他重要事项的情况说明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第四部分名称解释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第一部分鹤城区文学艺术界联合会概况</w:t>
      </w:r>
    </w:p>
    <w:p w:rsidR="00AA0C11" w:rsidRPr="00292864" w:rsidRDefault="00AA0C11" w:rsidP="00292864">
      <w:pPr>
        <w:pStyle w:val="a6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292864">
        <w:rPr>
          <w:rFonts w:ascii="Times New Roman" w:eastAsia="仿宋_GB2312" w:hAnsi="Times New Roman" w:hint="eastAsia"/>
          <w:bCs/>
          <w:kern w:val="0"/>
          <w:sz w:val="32"/>
          <w:szCs w:val="32"/>
        </w:rPr>
        <w:t>部门职责</w:t>
      </w:r>
    </w:p>
    <w:p w:rsidR="00AA0C11" w:rsidRPr="00292864" w:rsidRDefault="00AA0C11" w:rsidP="00292864">
      <w:pPr>
        <w:pStyle w:val="a6"/>
        <w:widowControl/>
        <w:spacing w:line="600" w:lineRule="exact"/>
        <w:ind w:left="720" w:firstLine="600"/>
        <w:rPr>
          <w:rFonts w:ascii="仿宋" w:eastAsia="仿宋" w:hAnsi="仿宋"/>
          <w:bCs/>
          <w:kern w:val="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区文联是区委、区政府领导下的文学艺术界的</w:t>
      </w:r>
      <w:r w:rsidRPr="00292864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群众团体，其主要任务是贯彻党</w:t>
      </w:r>
      <w:r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的文艺路线、方针、政策，为繁荣社会主义文艺事业奉献力量；负责对区</w:t>
      </w:r>
      <w:r w:rsidRPr="00292864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各文艺协会、文艺界人士的联络、服务、协调的职责，开展多种多样的文艺创作研讨、文艺评奖、纪念活动，总结交流创作经验；加强与上级文联，兄</w:t>
      </w:r>
      <w:r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弟县、市（区）文联的联系，增进友谊，开展对外文化交流活动；承办区委、区</w:t>
      </w:r>
      <w:r w:rsidRPr="00292864">
        <w:rPr>
          <w:rFonts w:ascii="仿宋" w:eastAsia="仿宋" w:hAnsi="仿宋" w:hint="eastAsia"/>
          <w:color w:val="000000"/>
          <w:sz w:val="30"/>
          <w:szCs w:val="30"/>
          <w:shd w:val="clear" w:color="auto" w:fill="FFFFFF"/>
        </w:rPr>
        <w:t>政府交办的其他事项。</w:t>
      </w:r>
    </w:p>
    <w:p w:rsidR="00AA0C11" w:rsidRDefault="00AA0C1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二、机构设置及决算单位构成</w:t>
      </w:r>
    </w:p>
    <w:p w:rsidR="00AA0C11" w:rsidRDefault="00AA0C11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内设机构设置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鹤城区文学艺术界联合会内设办公室</w:t>
      </w:r>
    </w:p>
    <w:p w:rsidR="00AA0C11" w:rsidRDefault="00AA0C11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决算单位构成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鹤城区文学艺术界联合会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年部门决算汇总公开单位构成包括：鹤城区文学艺术界联合会单位本级。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第二部分鹤城区文学艺术界联合会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年度部门决算表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本次公开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年度部门决算汇总表共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张，分别是《收入支出决算总表》、《收入决算表》、《支出决算表》、《财政拨款收入支出决算表》、《一般公共预算财政拨款收入支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lastRenderedPageBreak/>
        <w:t>出决算表》、《一般公共预算财政拨款基本支出决算表》、《一般公共预算财政拨款“三公”经费支出决算表》和《政府性基金预算财政拨款收入支出决算表》公开表格及详细数据附后。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(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公开表格附后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)</w:t>
      </w:r>
    </w:p>
    <w:p w:rsidR="00AA0C11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第三部分鹤城区文学艺术界联合会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年度部门决算情况说明</w:t>
      </w:r>
    </w:p>
    <w:p w:rsidR="00AA0C11" w:rsidRDefault="00AA0C11">
      <w:pPr>
        <w:widowControl/>
        <w:spacing w:line="600" w:lineRule="exact"/>
        <w:ind w:firstLineChars="150" w:firstLine="48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一、收入支出决算总体情况说明</w:t>
      </w:r>
    </w:p>
    <w:p w:rsidR="00AA0C11" w:rsidRDefault="00AA0C11" w:rsidP="00B1606C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年度本部门收入</w:t>
      </w:r>
      <w:r>
        <w:rPr>
          <w:rFonts w:ascii="仿宋" w:eastAsia="仿宋" w:hAnsi="仿宋"/>
          <w:sz w:val="32"/>
          <w:szCs w:val="32"/>
        </w:rPr>
        <w:t>61.37</w:t>
      </w:r>
      <w:r>
        <w:rPr>
          <w:rFonts w:ascii="仿宋" w:eastAsia="仿宋" w:hAnsi="仿宋" w:hint="eastAsia"/>
          <w:sz w:val="32"/>
          <w:szCs w:val="32"/>
        </w:rPr>
        <w:t>万元，去年度本部门收入</w:t>
      </w:r>
      <w:r>
        <w:rPr>
          <w:rFonts w:ascii="仿宋_GB2312" w:eastAsia="仿宋_GB2312" w:hAnsi="仿宋_GB2312" w:cs="仿宋_GB2312"/>
          <w:sz w:val="32"/>
          <w:szCs w:val="32"/>
        </w:rPr>
        <w:t xml:space="preserve">  50.58</w:t>
      </w:r>
      <w:r>
        <w:rPr>
          <w:rFonts w:ascii="仿宋" w:eastAsia="仿宋" w:hAnsi="仿宋" w:hint="eastAsia"/>
          <w:sz w:val="32"/>
          <w:szCs w:val="32"/>
        </w:rPr>
        <w:t>万元，本年度与上年度相比，增加了</w:t>
      </w:r>
      <w:r>
        <w:rPr>
          <w:rFonts w:ascii="仿宋" w:eastAsia="仿宋" w:hAnsi="仿宋"/>
          <w:sz w:val="32"/>
          <w:szCs w:val="32"/>
        </w:rPr>
        <w:t xml:space="preserve"> 10.78</w:t>
      </w:r>
      <w:r>
        <w:rPr>
          <w:rFonts w:ascii="仿宋" w:eastAsia="仿宋" w:hAnsi="仿宋" w:hint="eastAsia"/>
          <w:sz w:val="32"/>
          <w:szCs w:val="32"/>
        </w:rPr>
        <w:t>万元，增加了</w:t>
      </w:r>
      <w:r>
        <w:rPr>
          <w:rFonts w:ascii="仿宋" w:eastAsia="仿宋" w:hAnsi="仿宋"/>
          <w:sz w:val="32"/>
          <w:szCs w:val="32"/>
        </w:rPr>
        <w:t xml:space="preserve">  21.31 %</w:t>
      </w:r>
      <w:r>
        <w:rPr>
          <w:rFonts w:ascii="仿宋" w:eastAsia="仿宋" w:hAnsi="仿宋" w:hint="eastAsia"/>
          <w:sz w:val="32"/>
          <w:szCs w:val="32"/>
        </w:rPr>
        <w:t>，主要原因是：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年工资增加及创作引导书画、摄影展览专项经费增加。</w:t>
      </w:r>
    </w:p>
    <w:p w:rsidR="00AA0C11" w:rsidRDefault="00AA0C11" w:rsidP="00B1606C">
      <w:pPr>
        <w:widowControl/>
        <w:spacing w:line="60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年度本部门支出</w:t>
      </w:r>
      <w:r>
        <w:rPr>
          <w:rFonts w:ascii="仿宋" w:eastAsia="仿宋" w:hAnsi="仿宋"/>
          <w:sz w:val="32"/>
          <w:szCs w:val="32"/>
        </w:rPr>
        <w:t xml:space="preserve"> 59.07</w:t>
      </w:r>
      <w:r>
        <w:rPr>
          <w:rFonts w:ascii="仿宋" w:eastAsia="仿宋" w:hAnsi="仿宋" w:hint="eastAsia"/>
          <w:sz w:val="32"/>
          <w:szCs w:val="32"/>
        </w:rPr>
        <w:t>万元，去年度本部门支出</w:t>
      </w:r>
      <w:r>
        <w:rPr>
          <w:rFonts w:ascii="仿宋" w:eastAsia="仿宋" w:hAnsi="仿宋"/>
          <w:sz w:val="32"/>
          <w:szCs w:val="32"/>
        </w:rPr>
        <w:t>54.10</w:t>
      </w:r>
      <w:r>
        <w:rPr>
          <w:rFonts w:ascii="仿宋" w:eastAsia="仿宋" w:hAnsi="仿宋" w:hint="eastAsia"/>
          <w:sz w:val="32"/>
          <w:szCs w:val="32"/>
        </w:rPr>
        <w:t>万元，本年度与上年度相比，增加</w:t>
      </w:r>
      <w:r>
        <w:rPr>
          <w:rFonts w:ascii="仿宋" w:eastAsia="仿宋" w:hAnsi="仿宋"/>
          <w:sz w:val="32"/>
          <w:szCs w:val="32"/>
        </w:rPr>
        <w:t>4.96</w:t>
      </w:r>
      <w:r>
        <w:rPr>
          <w:rFonts w:ascii="仿宋" w:eastAsia="仿宋" w:hAnsi="仿宋" w:hint="eastAsia"/>
          <w:sz w:val="32"/>
          <w:szCs w:val="32"/>
        </w:rPr>
        <w:t>万元，增加</w:t>
      </w:r>
      <w:r>
        <w:rPr>
          <w:rFonts w:ascii="仿宋" w:eastAsia="仿宋" w:hAnsi="仿宋"/>
          <w:sz w:val="32"/>
          <w:szCs w:val="32"/>
        </w:rPr>
        <w:t>9.17%</w:t>
      </w:r>
      <w:r>
        <w:rPr>
          <w:rFonts w:ascii="仿宋" w:eastAsia="仿宋" w:hAnsi="仿宋" w:hint="eastAsia"/>
          <w:sz w:val="32"/>
          <w:szCs w:val="32"/>
        </w:rPr>
        <w:t>，主要原因是：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年工资增加及创作引导、书画、摄影展览专项经费。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二、收入决算情况说明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年度本部门收入</w:t>
      </w:r>
      <w:r>
        <w:rPr>
          <w:rFonts w:ascii="仿宋" w:eastAsia="仿宋" w:hAnsi="仿宋"/>
          <w:sz w:val="32"/>
          <w:szCs w:val="32"/>
        </w:rPr>
        <w:t>61.37</w:t>
      </w:r>
      <w:r>
        <w:rPr>
          <w:rFonts w:ascii="仿宋" w:eastAsia="仿宋" w:hAnsi="仿宋" w:hint="eastAsia"/>
          <w:sz w:val="32"/>
          <w:szCs w:val="32"/>
        </w:rPr>
        <w:t>万元，其中：财政拨款收入</w:t>
      </w:r>
      <w:r>
        <w:rPr>
          <w:rFonts w:ascii="仿宋" w:eastAsia="仿宋" w:hAnsi="仿宋"/>
          <w:sz w:val="32"/>
          <w:szCs w:val="32"/>
        </w:rPr>
        <w:t>61.37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100%</w:t>
      </w:r>
      <w:r>
        <w:rPr>
          <w:rFonts w:ascii="仿宋" w:eastAsia="仿宋" w:hAnsi="仿宋" w:hint="eastAsia"/>
          <w:sz w:val="32"/>
          <w:szCs w:val="32"/>
        </w:rPr>
        <w:t>；上级补助收入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万元，事业收入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万元，其他收入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三、支出决算情况说明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年度本部门支出</w:t>
      </w:r>
      <w:r>
        <w:rPr>
          <w:rFonts w:ascii="仿宋" w:eastAsia="仿宋" w:hAnsi="仿宋"/>
          <w:sz w:val="32"/>
          <w:szCs w:val="32"/>
        </w:rPr>
        <w:t>59.07</w:t>
      </w:r>
      <w:r>
        <w:rPr>
          <w:rFonts w:ascii="仿宋" w:eastAsia="仿宋" w:hAnsi="仿宋" w:hint="eastAsia"/>
          <w:sz w:val="32"/>
          <w:szCs w:val="32"/>
        </w:rPr>
        <w:t>万元，其中：基本支出</w:t>
      </w:r>
      <w:r>
        <w:rPr>
          <w:rFonts w:ascii="仿宋" w:eastAsia="仿宋" w:hAnsi="仿宋"/>
          <w:sz w:val="32"/>
          <w:szCs w:val="32"/>
        </w:rPr>
        <w:t>34.35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58%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四、财政拨款收入支出决算总体情况说明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年度本部门财政拨款收入</w:t>
      </w:r>
      <w:r>
        <w:rPr>
          <w:rFonts w:ascii="仿宋" w:eastAsia="仿宋" w:hAnsi="仿宋"/>
          <w:sz w:val="32"/>
          <w:szCs w:val="32"/>
        </w:rPr>
        <w:t>61.37</w:t>
      </w:r>
      <w:r>
        <w:rPr>
          <w:rFonts w:ascii="仿宋" w:eastAsia="仿宋" w:hAnsi="仿宋" w:hint="eastAsia"/>
          <w:sz w:val="32"/>
          <w:szCs w:val="32"/>
        </w:rPr>
        <w:t>万元，与上年相比增加</w:t>
      </w:r>
      <w:r>
        <w:rPr>
          <w:rFonts w:ascii="仿宋" w:eastAsia="仿宋" w:hAnsi="仿宋"/>
          <w:sz w:val="32"/>
          <w:szCs w:val="32"/>
        </w:rPr>
        <w:t>10.78</w:t>
      </w:r>
      <w:r>
        <w:rPr>
          <w:rFonts w:ascii="仿宋" w:eastAsia="仿宋" w:hAnsi="仿宋" w:hint="eastAsia"/>
          <w:sz w:val="32"/>
          <w:szCs w:val="32"/>
        </w:rPr>
        <w:t>万元，增加</w:t>
      </w:r>
      <w:r>
        <w:rPr>
          <w:rFonts w:ascii="仿宋" w:eastAsia="仿宋" w:hAnsi="仿宋"/>
          <w:sz w:val="32"/>
          <w:szCs w:val="32"/>
        </w:rPr>
        <w:t>21.31%,</w:t>
      </w:r>
      <w:r>
        <w:rPr>
          <w:rFonts w:ascii="仿宋" w:eastAsia="仿宋" w:hAnsi="仿宋" w:hint="eastAsia"/>
          <w:sz w:val="32"/>
          <w:szCs w:val="32"/>
        </w:rPr>
        <w:t>主要原因是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年工资增加及创作引导书画、摄影展览专项经费。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年度本部门财政拨款支出</w:t>
      </w:r>
      <w:r>
        <w:rPr>
          <w:rFonts w:ascii="仿宋" w:eastAsia="仿宋" w:hAnsi="仿宋"/>
          <w:sz w:val="32"/>
          <w:szCs w:val="32"/>
        </w:rPr>
        <w:t>59.07</w:t>
      </w:r>
      <w:r>
        <w:rPr>
          <w:rFonts w:ascii="仿宋" w:eastAsia="仿宋" w:hAnsi="仿宋" w:hint="eastAsia"/>
          <w:sz w:val="32"/>
          <w:szCs w:val="32"/>
        </w:rPr>
        <w:t>万元，与上年相比，增加</w:t>
      </w:r>
      <w:r>
        <w:rPr>
          <w:rFonts w:ascii="仿宋" w:eastAsia="仿宋" w:hAnsi="仿宋"/>
          <w:sz w:val="32"/>
          <w:szCs w:val="32"/>
        </w:rPr>
        <w:t>4.97</w:t>
      </w:r>
      <w:r>
        <w:rPr>
          <w:rFonts w:ascii="仿宋" w:eastAsia="仿宋" w:hAnsi="仿宋" w:hint="eastAsia"/>
          <w:sz w:val="32"/>
          <w:szCs w:val="32"/>
        </w:rPr>
        <w:t>万元，增加</w:t>
      </w:r>
      <w:r>
        <w:rPr>
          <w:rFonts w:ascii="仿宋" w:eastAsia="仿宋" w:hAnsi="仿宋"/>
          <w:sz w:val="32"/>
          <w:szCs w:val="32"/>
        </w:rPr>
        <w:t>9.17%,</w:t>
      </w:r>
      <w:r>
        <w:rPr>
          <w:rFonts w:ascii="仿宋" w:eastAsia="仿宋" w:hAnsi="仿宋" w:hint="eastAsia"/>
          <w:sz w:val="32"/>
          <w:szCs w:val="32"/>
        </w:rPr>
        <w:t>主要原因是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年工资增加及创作引导书画、摄影展览专项经费。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五、一般公共预算财政拨款支出决算情况说明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（一）财政拨款支出决算总体情况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财政拨款本年支出数为</w:t>
      </w:r>
      <w:r>
        <w:rPr>
          <w:rFonts w:ascii="仿宋" w:eastAsia="仿宋" w:hAnsi="仿宋"/>
          <w:sz w:val="32"/>
          <w:szCs w:val="32"/>
        </w:rPr>
        <w:t>59.07</w:t>
      </w:r>
      <w:r>
        <w:rPr>
          <w:rFonts w:ascii="仿宋" w:eastAsia="仿宋" w:hAnsi="仿宋" w:hint="eastAsia"/>
          <w:sz w:val="32"/>
          <w:szCs w:val="32"/>
        </w:rPr>
        <w:t>万元，与上年相比，增加</w:t>
      </w:r>
      <w:r>
        <w:rPr>
          <w:rFonts w:ascii="仿宋" w:eastAsia="仿宋" w:hAnsi="仿宋"/>
          <w:sz w:val="32"/>
          <w:szCs w:val="32"/>
        </w:rPr>
        <w:t>10.78</w:t>
      </w:r>
      <w:r>
        <w:rPr>
          <w:rFonts w:ascii="仿宋" w:eastAsia="仿宋" w:hAnsi="仿宋" w:hint="eastAsia"/>
          <w:sz w:val="32"/>
          <w:szCs w:val="32"/>
        </w:rPr>
        <w:t>万元，增加</w:t>
      </w:r>
      <w:r>
        <w:rPr>
          <w:rFonts w:ascii="仿宋" w:eastAsia="仿宋" w:hAnsi="仿宋"/>
          <w:sz w:val="32"/>
          <w:szCs w:val="32"/>
        </w:rPr>
        <w:t>21.31%,</w:t>
      </w:r>
      <w:r>
        <w:rPr>
          <w:rFonts w:ascii="仿宋" w:eastAsia="仿宋" w:hAnsi="仿宋" w:hint="eastAsia"/>
          <w:sz w:val="32"/>
          <w:szCs w:val="32"/>
        </w:rPr>
        <w:t>主要原因是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年工资增加及创作引导书画、摄影展览专项经费。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（二）财政拨款支出决算结构情况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年度财政拨款支出基本支出</w:t>
      </w:r>
      <w:r>
        <w:rPr>
          <w:rFonts w:ascii="仿宋" w:eastAsia="仿宋" w:hAnsi="仿宋"/>
          <w:sz w:val="32"/>
          <w:szCs w:val="32"/>
        </w:rPr>
        <w:t>34.35</w:t>
      </w:r>
      <w:r>
        <w:rPr>
          <w:rFonts w:ascii="仿宋" w:eastAsia="仿宋" w:hAnsi="仿宋" w:hint="eastAsia"/>
          <w:sz w:val="32"/>
          <w:szCs w:val="32"/>
        </w:rPr>
        <w:t>万元，其中：工资福利支出</w:t>
      </w:r>
      <w:r>
        <w:rPr>
          <w:rFonts w:ascii="仿宋" w:eastAsia="仿宋" w:hAnsi="仿宋"/>
          <w:sz w:val="32"/>
          <w:szCs w:val="32"/>
        </w:rPr>
        <w:t>28.54</w:t>
      </w:r>
      <w:r>
        <w:rPr>
          <w:rFonts w:ascii="仿宋" w:eastAsia="仿宋" w:hAnsi="仿宋" w:hint="eastAsia"/>
          <w:sz w:val="32"/>
          <w:szCs w:val="32"/>
        </w:rPr>
        <w:t>万元，占财政拨款支出的</w:t>
      </w:r>
      <w:r>
        <w:rPr>
          <w:rFonts w:ascii="仿宋" w:eastAsia="仿宋" w:hAnsi="仿宋"/>
          <w:sz w:val="32"/>
          <w:szCs w:val="32"/>
        </w:rPr>
        <w:t>40.62%</w:t>
      </w:r>
      <w:r>
        <w:rPr>
          <w:rFonts w:ascii="仿宋" w:eastAsia="仿宋" w:hAnsi="仿宋" w:hint="eastAsia"/>
          <w:sz w:val="32"/>
          <w:szCs w:val="32"/>
        </w:rPr>
        <w:t>；商品和服务支出</w:t>
      </w:r>
      <w:r>
        <w:rPr>
          <w:rFonts w:ascii="仿宋" w:eastAsia="仿宋" w:hAnsi="仿宋"/>
          <w:sz w:val="32"/>
          <w:szCs w:val="32"/>
        </w:rPr>
        <w:t>0.75</w:t>
      </w:r>
      <w:r>
        <w:rPr>
          <w:rFonts w:ascii="仿宋" w:eastAsia="仿宋" w:hAnsi="仿宋" w:hint="eastAsia"/>
          <w:sz w:val="32"/>
          <w:szCs w:val="32"/>
        </w:rPr>
        <w:t>万元，占财政拨款支出的</w:t>
      </w:r>
      <w:r>
        <w:rPr>
          <w:rFonts w:ascii="仿宋" w:eastAsia="仿宋" w:hAnsi="仿宋"/>
          <w:sz w:val="32"/>
          <w:szCs w:val="32"/>
        </w:rPr>
        <w:t>2%</w:t>
      </w:r>
      <w:r>
        <w:rPr>
          <w:rFonts w:ascii="仿宋" w:eastAsia="仿宋" w:hAnsi="仿宋" w:hint="eastAsia"/>
          <w:sz w:val="32"/>
          <w:szCs w:val="32"/>
        </w:rPr>
        <w:t>；对个人和家庭的补助</w:t>
      </w:r>
      <w:r>
        <w:rPr>
          <w:rFonts w:ascii="仿宋" w:eastAsia="仿宋" w:hAnsi="仿宋"/>
          <w:sz w:val="32"/>
          <w:szCs w:val="32"/>
        </w:rPr>
        <w:t>5.5</w:t>
      </w:r>
      <w:r>
        <w:rPr>
          <w:rFonts w:ascii="仿宋" w:eastAsia="仿宋" w:hAnsi="仿宋" w:hint="eastAsia"/>
          <w:sz w:val="32"/>
          <w:szCs w:val="32"/>
        </w:rPr>
        <w:t>万元，占财政拨款支出的</w:t>
      </w:r>
      <w:r>
        <w:rPr>
          <w:rFonts w:ascii="仿宋" w:eastAsia="仿宋" w:hAnsi="仿宋"/>
          <w:sz w:val="32"/>
          <w:szCs w:val="32"/>
        </w:rPr>
        <w:t>16%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A0C11" w:rsidRDefault="00AA0C11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财政拨款支出决算具体情况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" w:hAnsi="Times New Roman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年度财政拨款支出</w:t>
      </w:r>
      <w:r>
        <w:rPr>
          <w:rFonts w:ascii="仿宋" w:eastAsia="仿宋" w:hAnsi="仿宋"/>
          <w:sz w:val="32"/>
          <w:szCs w:val="32"/>
        </w:rPr>
        <w:t>59.07</w:t>
      </w:r>
      <w:r>
        <w:rPr>
          <w:rFonts w:ascii="仿宋" w:eastAsia="仿宋" w:hAnsi="仿宋" w:hint="eastAsia"/>
          <w:sz w:val="32"/>
          <w:szCs w:val="32"/>
        </w:rPr>
        <w:t>万元，与年初预算相比，增加了</w:t>
      </w:r>
      <w:r>
        <w:rPr>
          <w:rFonts w:ascii="仿宋" w:eastAsia="仿宋" w:hAnsi="仿宋"/>
          <w:sz w:val="32"/>
          <w:szCs w:val="32"/>
        </w:rPr>
        <w:t>9.07</w:t>
      </w:r>
      <w:r>
        <w:rPr>
          <w:rFonts w:ascii="仿宋" w:eastAsia="仿宋" w:hAnsi="仿宋" w:hint="eastAsia"/>
          <w:sz w:val="32"/>
          <w:szCs w:val="32"/>
        </w:rPr>
        <w:t>万元，主要原因是：社会保障和就业支出减少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万元，医疗卫生与计划生育支出减少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万元，创作引导费增加</w:t>
      </w:r>
      <w:r>
        <w:rPr>
          <w:rFonts w:ascii="仿宋" w:eastAsia="仿宋" w:hAnsi="仿宋"/>
          <w:sz w:val="32"/>
          <w:szCs w:val="32"/>
        </w:rPr>
        <w:t>9.07</w:t>
      </w:r>
      <w:r>
        <w:rPr>
          <w:rFonts w:ascii="仿宋" w:eastAsia="仿宋" w:hAnsi="仿宋" w:hint="eastAsia"/>
          <w:sz w:val="32"/>
          <w:szCs w:val="32"/>
        </w:rPr>
        <w:t>万元，住房保障支出减少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本部门一般公共预算财政拨款基本支出</w:t>
      </w:r>
      <w:r>
        <w:rPr>
          <w:rFonts w:ascii="仿宋" w:eastAsia="仿宋" w:hAnsi="仿宋"/>
          <w:sz w:val="32"/>
          <w:szCs w:val="32"/>
        </w:rPr>
        <w:t>48.33</w:t>
      </w:r>
      <w:r>
        <w:rPr>
          <w:rFonts w:ascii="仿宋" w:eastAsia="仿宋" w:hAnsi="仿宋" w:hint="eastAsia"/>
          <w:sz w:val="32"/>
          <w:szCs w:val="32"/>
        </w:rPr>
        <w:t>万元，其中：人员经费</w:t>
      </w:r>
      <w:r>
        <w:rPr>
          <w:rFonts w:ascii="仿宋" w:eastAsia="仿宋" w:hAnsi="仿宋"/>
          <w:sz w:val="32"/>
          <w:szCs w:val="32"/>
        </w:rPr>
        <w:t>23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47.5%</w:t>
      </w:r>
      <w:r>
        <w:rPr>
          <w:rFonts w:ascii="仿宋" w:eastAsia="仿宋" w:hAnsi="仿宋" w:hint="eastAsia"/>
          <w:sz w:val="32"/>
          <w:szCs w:val="32"/>
        </w:rPr>
        <w:t>，公用经费</w:t>
      </w:r>
      <w:r>
        <w:rPr>
          <w:rFonts w:ascii="仿宋" w:eastAsia="仿宋" w:hAnsi="仿宋"/>
          <w:sz w:val="32"/>
          <w:szCs w:val="32"/>
        </w:rPr>
        <w:t>25.33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/>
          <w:sz w:val="32"/>
          <w:szCs w:val="32"/>
        </w:rPr>
        <w:t>52%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（一）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经费财政拨款支出决算总体情况说明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年度“三公”经费决算支出为</w:t>
      </w:r>
      <w:r w:rsidR="0003724C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公务用车购置及运行维护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万元、公务接待费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万元，因公出国费用为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万元。上年决算支出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公务用车购置及运行维护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万元、公务接待费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万元，因公出国费用为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年度“三公经费”年初预算为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公务用车购置及运行维护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万元、公务接待费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万元，因公出国费用为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AA0C11" w:rsidRDefault="00AA0C11">
      <w:pPr>
        <w:widowControl/>
        <w:spacing w:line="600" w:lineRule="exact"/>
        <w:ind w:firstLineChars="250" w:firstLine="800"/>
        <w:rPr>
          <w:rFonts w:ascii="Times New Roman" w:eastAsia="仿宋_GB2312" w:hAnsi="Times New Roman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（二）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经费财政拨款支出决算具体情况说明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年度因公出国（境）组（参）团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个；公务用车购置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辆；国内公务接待批次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次，接待人次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2D2586" w:rsidRPr="00466E8C" w:rsidRDefault="002D2586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没有因公出国。</w:t>
      </w:r>
      <w:r w:rsidR="00466E8C">
        <w:rPr>
          <w:rFonts w:ascii="仿宋" w:eastAsia="仿宋" w:hAnsi="仿宋"/>
          <w:sz w:val="32"/>
          <w:szCs w:val="32"/>
        </w:rPr>
        <w:br/>
        <w:t>公务用车购置及保有量为</w:t>
      </w:r>
      <w:r w:rsidR="00466E8C">
        <w:rPr>
          <w:rFonts w:ascii="仿宋" w:eastAsia="仿宋" w:hAnsi="仿宋" w:hint="eastAsia"/>
          <w:sz w:val="32"/>
          <w:szCs w:val="32"/>
        </w:rPr>
        <w:t>0.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八、政府性基金预算收入支出决算情况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本单位无政府性基金收支。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九、关于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年度预算绩效情况说明</w:t>
      </w:r>
    </w:p>
    <w:p w:rsidR="00AA0C11" w:rsidRDefault="00AA0C11">
      <w:pPr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部门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eastAsia="仿宋_GB2312" w:hint="eastAsia"/>
          <w:kern w:val="0"/>
          <w:sz w:val="32"/>
          <w:szCs w:val="32"/>
        </w:rPr>
        <w:t>年按区财政局要求认真开展落实绩效管理工作，切实完成年度绩效目标和绩效评价工作。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十、其他重要事项</w:t>
      </w:r>
    </w:p>
    <w:p w:rsidR="00AA0C11" w:rsidRDefault="00AA0C11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（一）机关运行经费支出情况。本部门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年度机关运行经费支出</w:t>
      </w:r>
      <w:r>
        <w:rPr>
          <w:rFonts w:ascii="仿宋" w:eastAsia="仿宋" w:hAnsi="仿宋"/>
          <w:sz w:val="32"/>
          <w:szCs w:val="32"/>
        </w:rPr>
        <w:t>34.35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万元，比年初预算数增加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  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万元，增长</w:t>
      </w:r>
      <w:r>
        <w:rPr>
          <w:rFonts w:ascii="Times New Roman" w:eastAsia="仿宋_GB2312" w:hAnsi="Times New Roman"/>
          <w:kern w:val="0"/>
          <w:sz w:val="32"/>
          <w:szCs w:val="32"/>
        </w:rPr>
        <w:t>17%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。主要原因是：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年大型书画、摄影展览专用材料费。</w:t>
      </w:r>
    </w:p>
    <w:p w:rsidR="00AA0C11" w:rsidRDefault="00AA0C11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（二）政府采购支出情况。本部门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年度政府采购支出总额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万元，其中：政府采购货物支出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万元、政府采购工程支出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万元、政府采购服务支出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万元。授予中小企业合同金额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万元，其中：授予小微企业合同金额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万元，占政府采购支出金额的</w:t>
      </w:r>
      <w:r>
        <w:rPr>
          <w:rFonts w:ascii="Times New Roman" w:eastAsia="仿宋_GB2312" w:hAnsi="Times New Roman"/>
          <w:kern w:val="0"/>
          <w:sz w:val="32"/>
          <w:szCs w:val="32"/>
        </w:rPr>
        <w:t>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AA0C11" w:rsidRDefault="00AA0C11">
      <w:pPr>
        <w:autoSpaceDE w:val="0"/>
        <w:autoSpaceDN w:val="0"/>
        <w:adjustRightInd w:val="0"/>
        <w:spacing w:line="600" w:lineRule="exact"/>
        <w:ind w:firstLineChars="250" w:firstLine="80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（三）国有资产占用情况。截至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/>
          <w:kern w:val="0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月</w:t>
      </w:r>
      <w:r>
        <w:rPr>
          <w:rFonts w:ascii="Times New Roman" w:eastAsia="仿宋_GB2312" w:hAnsi="Times New Roman"/>
          <w:kern w:val="0"/>
          <w:sz w:val="32"/>
          <w:szCs w:val="32"/>
        </w:rPr>
        <w:t>31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日，本部门共有车辆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辆，其中，部级领导干部用车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辆、一般公务用车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辆、一般执法执勤用车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辆、特种专业技术用车辆</w:t>
      </w:r>
      <w:r w:rsidR="002D2586">
        <w:rPr>
          <w:rFonts w:ascii="Times New Roman" w:eastAsia="仿宋_GB2312" w:hAnsi="Times New Roman" w:hint="eastAsia"/>
          <w:kern w:val="0"/>
          <w:sz w:val="32"/>
          <w:szCs w:val="32"/>
        </w:rPr>
        <w:t>0</w:t>
      </w:r>
      <w:r w:rsidR="002D2586">
        <w:rPr>
          <w:rFonts w:ascii="Times New Roman" w:eastAsia="仿宋_GB2312" w:hAnsi="Times New Roman" w:hint="eastAsia"/>
          <w:kern w:val="0"/>
          <w:sz w:val="32"/>
          <w:szCs w:val="32"/>
        </w:rPr>
        <w:t>辆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其他用车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辆，单位价值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50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万元以上通用设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台（套），单价</w:t>
      </w:r>
      <w:r>
        <w:rPr>
          <w:rFonts w:ascii="Times New Roman" w:eastAsia="仿宋_GB2312" w:hAnsi="Times New Roman"/>
          <w:kern w:val="0"/>
          <w:sz w:val="32"/>
          <w:szCs w:val="32"/>
        </w:rPr>
        <w:t xml:space="preserve">100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万元以上专用设备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台（套）。</w:t>
      </w:r>
    </w:p>
    <w:p w:rsidR="00AA0C11" w:rsidRPr="002D2586" w:rsidRDefault="00AA0C11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</w:p>
    <w:p w:rsidR="00AA0C11" w:rsidRDefault="00AA0C11">
      <w:pPr>
        <w:widowControl/>
        <w:spacing w:line="600" w:lineRule="exact"/>
        <w:rPr>
          <w:rFonts w:ascii="仿宋_GB2312" w:eastAsia="仿宋_GB2312" w:hAnsi="Times New Roman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第四部分名词解释</w:t>
      </w:r>
    </w:p>
    <w:p w:rsidR="00AA0C11" w:rsidRDefault="00AA0C11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1.</w:t>
      </w:r>
      <w:r>
        <w:rPr>
          <w:rFonts w:eastAsia="仿宋_GB2312" w:hint="eastAsia"/>
          <w:kern w:val="0"/>
          <w:sz w:val="32"/>
          <w:szCs w:val="32"/>
        </w:rPr>
        <w:t>机关运行经费：为保障行政单位（包括参照公务员法管理的事业单位）运行，用一般公共预算拨款安排，用于购买货物和服务的各项资金，包括办公及印刷费、邮电费、差旅费、会议费、福利费、日常维修费、办公用房水电费、办公用房取暖费、办公用房物业管理费、公务用车运行维护费以及其他费用，即为行政单位和参照公务员法管理事业单位</w:t>
      </w:r>
      <w:r>
        <w:rPr>
          <w:rFonts w:eastAsia="仿宋_GB2312" w:hint="eastAsia"/>
          <w:kern w:val="0"/>
          <w:sz w:val="32"/>
          <w:szCs w:val="32"/>
        </w:rPr>
        <w:lastRenderedPageBreak/>
        <w:t>一般公共预算财政拨款基本支出中的公用经费支出。</w:t>
      </w:r>
    </w:p>
    <w:p w:rsidR="00AA0C11" w:rsidRDefault="00AA0C11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2.“</w:t>
      </w:r>
      <w:r>
        <w:rPr>
          <w:rFonts w:eastAsia="仿宋_GB2312" w:hint="eastAsia"/>
          <w:kern w:val="0"/>
          <w:sz w:val="32"/>
          <w:szCs w:val="32"/>
        </w:rPr>
        <w:t>三公</w:t>
      </w:r>
      <w:r>
        <w:rPr>
          <w:rFonts w:eastAsia="仿宋_GB2312"/>
          <w:kern w:val="0"/>
          <w:sz w:val="32"/>
          <w:szCs w:val="32"/>
        </w:rPr>
        <w:t>”</w:t>
      </w:r>
      <w:r>
        <w:rPr>
          <w:rFonts w:eastAsia="仿宋_GB2312" w:hint="eastAsia"/>
          <w:kern w:val="0"/>
          <w:sz w:val="32"/>
          <w:szCs w:val="32"/>
        </w:rPr>
        <w:t>经费：纳入财政预算管理的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eastAsia="仿宋_GB2312" w:hint="eastAsia"/>
          <w:kern w:val="0"/>
          <w:sz w:val="32"/>
          <w:szCs w:val="32"/>
        </w:rPr>
        <w:t>三公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eastAsia="仿宋_GB2312" w:hint="eastAsia"/>
          <w:kern w:val="0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AA0C11" w:rsidRDefault="00AA0C11">
      <w:pPr>
        <w:spacing w:line="600" w:lineRule="exact"/>
        <w:rPr>
          <w:rFonts w:ascii="Times New Roman" w:eastAsia="黑体" w:hAnsi="Times New Roman"/>
          <w:sz w:val="28"/>
          <w:szCs w:val="28"/>
        </w:rPr>
      </w:pPr>
    </w:p>
    <w:p w:rsidR="00AA0C11" w:rsidRDefault="00AA0C11">
      <w:pPr>
        <w:spacing w:line="600" w:lineRule="exact"/>
        <w:rPr>
          <w:rFonts w:ascii="Times New Roman" w:eastAsia="黑体" w:hAnsi="Times New Roman"/>
          <w:sz w:val="28"/>
          <w:szCs w:val="28"/>
        </w:rPr>
      </w:pPr>
    </w:p>
    <w:p w:rsidR="00AA0C11" w:rsidRDefault="00AA0C11">
      <w:pPr>
        <w:spacing w:line="600" w:lineRule="exact"/>
        <w:ind w:firstLineChars="200" w:firstLine="640"/>
        <w:jc w:val="right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鹤城区文学艺术界联合会</w:t>
      </w:r>
    </w:p>
    <w:p w:rsidR="00AA0C11" w:rsidRDefault="00AA0C11" w:rsidP="008A34B2">
      <w:pPr>
        <w:spacing w:line="600" w:lineRule="exact"/>
        <w:ind w:right="640" w:firstLineChars="200" w:firstLine="640"/>
        <w:jc w:val="righ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2019</w:t>
      </w:r>
      <w:r>
        <w:rPr>
          <w:rFonts w:eastAsia="仿宋_GB2312" w:hint="eastAsia"/>
          <w:kern w:val="0"/>
          <w:sz w:val="32"/>
          <w:szCs w:val="32"/>
        </w:rPr>
        <w:t>年</w:t>
      </w:r>
      <w:r>
        <w:rPr>
          <w:rFonts w:eastAsia="仿宋_GB2312"/>
          <w:kern w:val="0"/>
          <w:sz w:val="32"/>
          <w:szCs w:val="32"/>
        </w:rPr>
        <w:t>9</w:t>
      </w:r>
      <w:r>
        <w:rPr>
          <w:rFonts w:eastAsia="仿宋_GB2312" w:hint="eastAsia"/>
          <w:kern w:val="0"/>
          <w:sz w:val="32"/>
          <w:szCs w:val="32"/>
        </w:rPr>
        <w:t>月</w:t>
      </w:r>
      <w:r>
        <w:rPr>
          <w:rFonts w:eastAsia="仿宋_GB2312"/>
          <w:kern w:val="0"/>
          <w:sz w:val="32"/>
          <w:szCs w:val="32"/>
        </w:rPr>
        <w:t>4</w:t>
      </w:r>
      <w:r>
        <w:rPr>
          <w:rFonts w:eastAsia="仿宋_GB2312" w:hint="eastAsia"/>
          <w:kern w:val="0"/>
          <w:sz w:val="32"/>
          <w:szCs w:val="32"/>
        </w:rPr>
        <w:t>日</w:t>
      </w:r>
    </w:p>
    <w:p w:rsidR="00AA0C11" w:rsidRDefault="00AA0C11"/>
    <w:sectPr w:rsidR="00AA0C11" w:rsidSect="00434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9EB" w:rsidRDefault="004C49EB" w:rsidP="00434C3A">
      <w:r>
        <w:separator/>
      </w:r>
    </w:p>
  </w:endnote>
  <w:endnote w:type="continuationSeparator" w:id="1">
    <w:p w:rsidR="004C49EB" w:rsidRDefault="004C49EB" w:rsidP="00434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D84384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D84384">
      <w:rPr>
        <w:rFonts w:ascii="Arial" w:hAnsi="Arial" w:cs="Arial"/>
        <w:b/>
        <w:sz w:val="21"/>
        <w:szCs w:val="21"/>
      </w:rPr>
      <w:fldChar w:fldCharType="separate"/>
    </w:r>
    <w:r w:rsidR="00466E8C">
      <w:rPr>
        <w:rFonts w:ascii="Arial" w:hAnsi="Arial" w:cs="Arial"/>
        <w:b/>
        <w:noProof/>
        <w:sz w:val="21"/>
        <w:szCs w:val="21"/>
      </w:rPr>
      <w:t>9</w:t>
    </w:r>
    <w:r w:rsidR="00D84384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9EB" w:rsidRDefault="004C49EB" w:rsidP="00434C3A">
      <w:r>
        <w:separator/>
      </w:r>
    </w:p>
  </w:footnote>
  <w:footnote w:type="continuationSeparator" w:id="1">
    <w:p w:rsidR="004C49EB" w:rsidRDefault="004C49EB" w:rsidP="00434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C11" w:rsidRDefault="00AA0C11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C2666C"/>
    <w:multiLevelType w:val="singleLevel"/>
    <w:tmpl w:val="E5C2666C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36C32434"/>
    <w:multiLevelType w:val="hybridMultilevel"/>
    <w:tmpl w:val="14F43412"/>
    <w:lvl w:ilvl="0" w:tplc="63B6B3F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A8E"/>
    <w:rsid w:val="0000396C"/>
    <w:rsid w:val="0000399E"/>
    <w:rsid w:val="00014F8D"/>
    <w:rsid w:val="0002580F"/>
    <w:rsid w:val="0003724C"/>
    <w:rsid w:val="00045381"/>
    <w:rsid w:val="00053B5E"/>
    <w:rsid w:val="00055DE1"/>
    <w:rsid w:val="00063E5A"/>
    <w:rsid w:val="00067E96"/>
    <w:rsid w:val="00071237"/>
    <w:rsid w:val="000722E1"/>
    <w:rsid w:val="000B0A22"/>
    <w:rsid w:val="000B19B6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80052"/>
    <w:rsid w:val="002831E7"/>
    <w:rsid w:val="00287575"/>
    <w:rsid w:val="00292864"/>
    <w:rsid w:val="002D2586"/>
    <w:rsid w:val="002E53F4"/>
    <w:rsid w:val="002F06C2"/>
    <w:rsid w:val="002F143C"/>
    <w:rsid w:val="002F3363"/>
    <w:rsid w:val="002F7152"/>
    <w:rsid w:val="00302072"/>
    <w:rsid w:val="003038FB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2BB7"/>
    <w:rsid w:val="003C55FC"/>
    <w:rsid w:val="003D12D8"/>
    <w:rsid w:val="003D6D54"/>
    <w:rsid w:val="003E6AD9"/>
    <w:rsid w:val="003F0B3B"/>
    <w:rsid w:val="00404E19"/>
    <w:rsid w:val="0042466C"/>
    <w:rsid w:val="00427E6F"/>
    <w:rsid w:val="00434C3A"/>
    <w:rsid w:val="004428B6"/>
    <w:rsid w:val="00443EB8"/>
    <w:rsid w:val="00445114"/>
    <w:rsid w:val="00446B1E"/>
    <w:rsid w:val="00456DB2"/>
    <w:rsid w:val="004663EB"/>
    <w:rsid w:val="00466E8C"/>
    <w:rsid w:val="00474309"/>
    <w:rsid w:val="004908FF"/>
    <w:rsid w:val="00490C44"/>
    <w:rsid w:val="00490D3D"/>
    <w:rsid w:val="004A03D3"/>
    <w:rsid w:val="004A5F66"/>
    <w:rsid w:val="004C0935"/>
    <w:rsid w:val="004C441C"/>
    <w:rsid w:val="004C49EB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018C1"/>
    <w:rsid w:val="006266A6"/>
    <w:rsid w:val="006500DF"/>
    <w:rsid w:val="00654E91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DD7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E2653"/>
    <w:rsid w:val="007F6521"/>
    <w:rsid w:val="00823D36"/>
    <w:rsid w:val="00824B37"/>
    <w:rsid w:val="00825C8A"/>
    <w:rsid w:val="00842795"/>
    <w:rsid w:val="00860953"/>
    <w:rsid w:val="00863D3A"/>
    <w:rsid w:val="00866C97"/>
    <w:rsid w:val="008727A8"/>
    <w:rsid w:val="0087620B"/>
    <w:rsid w:val="00876ED1"/>
    <w:rsid w:val="00877367"/>
    <w:rsid w:val="00885622"/>
    <w:rsid w:val="00885802"/>
    <w:rsid w:val="00890012"/>
    <w:rsid w:val="008921D4"/>
    <w:rsid w:val="00893F81"/>
    <w:rsid w:val="00895A40"/>
    <w:rsid w:val="008A34B2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18B2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63B57"/>
    <w:rsid w:val="00A731F2"/>
    <w:rsid w:val="00A8613A"/>
    <w:rsid w:val="00A871BD"/>
    <w:rsid w:val="00A9678D"/>
    <w:rsid w:val="00AA0C11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1606C"/>
    <w:rsid w:val="00B355BF"/>
    <w:rsid w:val="00B50B06"/>
    <w:rsid w:val="00B65C92"/>
    <w:rsid w:val="00B8368D"/>
    <w:rsid w:val="00B83ABC"/>
    <w:rsid w:val="00BA02F4"/>
    <w:rsid w:val="00BA1FA2"/>
    <w:rsid w:val="00BB7F44"/>
    <w:rsid w:val="00BC1AD2"/>
    <w:rsid w:val="00BC22FC"/>
    <w:rsid w:val="00BC297B"/>
    <w:rsid w:val="00BC4C4B"/>
    <w:rsid w:val="00BD1569"/>
    <w:rsid w:val="00BD2F77"/>
    <w:rsid w:val="00BF1F0B"/>
    <w:rsid w:val="00C049CB"/>
    <w:rsid w:val="00C101E7"/>
    <w:rsid w:val="00C1573F"/>
    <w:rsid w:val="00C16682"/>
    <w:rsid w:val="00C17609"/>
    <w:rsid w:val="00C268CE"/>
    <w:rsid w:val="00C359CB"/>
    <w:rsid w:val="00C4727D"/>
    <w:rsid w:val="00C82E51"/>
    <w:rsid w:val="00CA71E9"/>
    <w:rsid w:val="00CC196A"/>
    <w:rsid w:val="00CC2508"/>
    <w:rsid w:val="00CD5338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384"/>
    <w:rsid w:val="00D84A8E"/>
    <w:rsid w:val="00D852B2"/>
    <w:rsid w:val="00D9054A"/>
    <w:rsid w:val="00D9071A"/>
    <w:rsid w:val="00D920E8"/>
    <w:rsid w:val="00DA7CF2"/>
    <w:rsid w:val="00DD1392"/>
    <w:rsid w:val="00DE6437"/>
    <w:rsid w:val="00DF3844"/>
    <w:rsid w:val="00DF4BBF"/>
    <w:rsid w:val="00E1743B"/>
    <w:rsid w:val="00E3306E"/>
    <w:rsid w:val="00E46AC7"/>
    <w:rsid w:val="00E53BC4"/>
    <w:rsid w:val="00E60FB5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57A69"/>
    <w:rsid w:val="00F6480A"/>
    <w:rsid w:val="00F66FAB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2432A41"/>
    <w:rsid w:val="086435ED"/>
    <w:rsid w:val="0D8F5509"/>
    <w:rsid w:val="12C533F5"/>
    <w:rsid w:val="207D35DF"/>
    <w:rsid w:val="533135C1"/>
    <w:rsid w:val="57B95C3A"/>
    <w:rsid w:val="719E321C"/>
    <w:rsid w:val="776B3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3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34C3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434C3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34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434C3A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434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434C3A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2928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461</Words>
  <Characters>2628</Characters>
  <Application>Microsoft Office Word</Application>
  <DocSecurity>0</DocSecurity>
  <Lines>21</Lines>
  <Paragraphs>6</Paragraphs>
  <ScaleCrop>false</ScaleCrop>
  <Company>Microsoft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鹤城区文学艺术界联合会</dc:title>
  <dc:creator>周亮辉 10.104.93.85</dc:creator>
  <cp:lastModifiedBy>gk</cp:lastModifiedBy>
  <cp:revision>2</cp:revision>
  <cp:lastPrinted>2019-09-06T01:14:00Z</cp:lastPrinted>
  <dcterms:created xsi:type="dcterms:W3CDTF">2021-06-03T08:47:00Z</dcterms:created>
  <dcterms:modified xsi:type="dcterms:W3CDTF">2021-06-03T08:47:00Z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