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Times New Roman" w:hAnsi="Times New Roman" w:eastAsia="宋体" w:cs="Times New Roman"/>
          <w:b/>
          <w:bCs/>
          <w:kern w:val="0"/>
          <w:sz w:val="44"/>
          <w:szCs w:val="44"/>
        </w:rPr>
      </w:pPr>
    </w:p>
    <w:p>
      <w:pPr>
        <w:widowControl/>
        <w:jc w:val="center"/>
        <w:rPr>
          <w:rFonts w:ascii="Times New Roman" w:hAnsi="Times New Roman" w:eastAsia="宋体" w:cs="Times New Roman"/>
          <w:b/>
          <w:bCs/>
          <w:kern w:val="0"/>
          <w:sz w:val="44"/>
          <w:szCs w:val="44"/>
        </w:rPr>
      </w:pPr>
    </w:p>
    <w:p>
      <w:pPr>
        <w:widowControl/>
        <w:jc w:val="center"/>
        <w:rPr>
          <w:rFonts w:ascii="Times New Roman" w:hAnsi="Times New Roman" w:eastAsia="宋体" w:cs="Times New Roman"/>
          <w:b/>
          <w:bCs/>
          <w:kern w:val="0"/>
          <w:sz w:val="44"/>
          <w:szCs w:val="44"/>
        </w:rPr>
      </w:pPr>
    </w:p>
    <w:p>
      <w:pPr>
        <w:widowControl/>
        <w:jc w:val="center"/>
        <w:rPr>
          <w:rFonts w:ascii="Times New Roman" w:hAnsi="Times New Roman" w:eastAsia="宋体" w:cs="Times New Roman"/>
          <w:b/>
          <w:bCs/>
          <w:kern w:val="0"/>
          <w:sz w:val="44"/>
          <w:szCs w:val="44"/>
        </w:rPr>
      </w:pPr>
    </w:p>
    <w:p>
      <w:pPr>
        <w:widowControl/>
        <w:jc w:val="center"/>
        <w:rPr>
          <w:rFonts w:ascii="Times New Roman" w:hAnsi="Times New Roman" w:eastAsia="宋体" w:cs="Times New Roman"/>
          <w:b/>
          <w:bCs/>
          <w:kern w:val="0"/>
          <w:sz w:val="44"/>
          <w:szCs w:val="44"/>
        </w:rPr>
      </w:pPr>
    </w:p>
    <w:p>
      <w:pPr>
        <w:widowControl/>
        <w:jc w:val="center"/>
        <w:rPr>
          <w:rFonts w:ascii="Times New Roman" w:hAnsi="Times New Roman" w:eastAsia="方正小标宋_GBK" w:cs="Times New Roman"/>
          <w:bCs/>
          <w:kern w:val="0"/>
          <w:sz w:val="72"/>
          <w:szCs w:val="72"/>
        </w:rPr>
      </w:pPr>
      <w:r>
        <w:rPr>
          <w:rFonts w:hint="eastAsia" w:ascii="Times New Roman" w:hAnsi="Times New Roman" w:eastAsia="方正小标宋_GBK" w:cs="Times New Roman"/>
          <w:bCs/>
          <w:kern w:val="0"/>
          <w:sz w:val="72"/>
          <w:szCs w:val="72"/>
        </w:rPr>
        <w:t>怀化市鹤城工业集中区管理委员会</w:t>
      </w:r>
    </w:p>
    <w:p>
      <w:pPr>
        <w:widowControl/>
        <w:jc w:val="center"/>
        <w:rPr>
          <w:rFonts w:ascii="Times New Roman" w:hAnsi="Times New Roman" w:eastAsia="方正小标宋_GBK" w:cs="Times New Roman"/>
          <w:bCs/>
          <w:kern w:val="0"/>
          <w:sz w:val="72"/>
          <w:szCs w:val="72"/>
        </w:rPr>
      </w:pPr>
      <w:r>
        <w:rPr>
          <w:rFonts w:hint="eastAsia" w:ascii="Times New Roman" w:hAnsi="Times New Roman" w:eastAsia="方正小标宋_GBK" w:cs="Times New Roman"/>
          <w:bCs/>
          <w:kern w:val="0"/>
          <w:sz w:val="72"/>
          <w:szCs w:val="72"/>
        </w:rPr>
        <w:t>2018年度部门决算</w:t>
      </w:r>
    </w:p>
    <w:p>
      <w:pPr>
        <w:widowControl/>
        <w:jc w:val="center"/>
        <w:rPr>
          <w:rFonts w:ascii="Times New Roman" w:hAnsi="Times New Roman" w:eastAsia="宋体" w:cs="Times New Roman"/>
          <w:b/>
          <w:bCs/>
          <w:kern w:val="0"/>
          <w:sz w:val="44"/>
          <w:szCs w:val="44"/>
        </w:rPr>
      </w:pPr>
    </w:p>
    <w:p>
      <w:pPr>
        <w:widowControl/>
        <w:jc w:val="center"/>
        <w:rPr>
          <w:rFonts w:ascii="Times New Roman" w:hAnsi="Times New Roman" w:eastAsia="宋体" w:cs="Times New Roman"/>
          <w:b/>
          <w:bCs/>
          <w:kern w:val="0"/>
          <w:sz w:val="44"/>
          <w:szCs w:val="44"/>
        </w:rPr>
      </w:pPr>
    </w:p>
    <w:p>
      <w:pPr>
        <w:widowControl/>
        <w:jc w:val="center"/>
        <w:rPr>
          <w:rFonts w:ascii="Times New Roman" w:hAnsi="Times New Roman" w:eastAsia="宋体" w:cs="Times New Roman"/>
          <w:b/>
          <w:bCs/>
          <w:kern w:val="0"/>
          <w:sz w:val="44"/>
          <w:szCs w:val="44"/>
        </w:rPr>
      </w:pPr>
    </w:p>
    <w:p>
      <w:pPr>
        <w:widowControl/>
        <w:jc w:val="center"/>
        <w:rPr>
          <w:rFonts w:ascii="Times New Roman" w:hAnsi="Times New Roman" w:eastAsia="宋体" w:cs="Times New Roman"/>
          <w:b/>
          <w:bCs/>
          <w:kern w:val="0"/>
          <w:sz w:val="44"/>
          <w:szCs w:val="44"/>
        </w:rPr>
      </w:pPr>
    </w:p>
    <w:p>
      <w:pPr>
        <w:widowControl/>
        <w:jc w:val="center"/>
        <w:rPr>
          <w:rFonts w:ascii="Times New Roman" w:hAnsi="Times New Roman" w:eastAsia="宋体" w:cs="Times New Roman"/>
          <w:b/>
          <w:bCs/>
          <w:kern w:val="0"/>
          <w:sz w:val="44"/>
          <w:szCs w:val="44"/>
        </w:rPr>
      </w:pPr>
    </w:p>
    <w:p>
      <w:pPr>
        <w:widowControl/>
        <w:jc w:val="center"/>
        <w:rPr>
          <w:rFonts w:ascii="Times New Roman" w:hAnsi="Times New Roman" w:eastAsia="宋体" w:cs="Times New Roman"/>
          <w:b/>
          <w:bCs/>
          <w:kern w:val="0"/>
          <w:sz w:val="44"/>
          <w:szCs w:val="44"/>
        </w:rPr>
      </w:pPr>
    </w:p>
    <w:p>
      <w:pPr>
        <w:widowControl/>
        <w:jc w:val="center"/>
        <w:rPr>
          <w:rFonts w:ascii="Times New Roman" w:hAnsi="Times New Roman" w:eastAsia="宋体" w:cs="Times New Roman"/>
          <w:b/>
          <w:bCs/>
          <w:kern w:val="0"/>
          <w:sz w:val="44"/>
          <w:szCs w:val="44"/>
        </w:rPr>
      </w:pPr>
    </w:p>
    <w:p>
      <w:pPr>
        <w:widowControl/>
        <w:jc w:val="center"/>
        <w:rPr>
          <w:rFonts w:ascii="Times New Roman" w:hAnsi="Times New Roman" w:eastAsia="宋体" w:cs="Times New Roman"/>
          <w:b/>
          <w:bCs/>
          <w:kern w:val="0"/>
          <w:sz w:val="44"/>
          <w:szCs w:val="44"/>
        </w:rPr>
      </w:pPr>
    </w:p>
    <w:p>
      <w:pPr>
        <w:widowControl/>
        <w:jc w:val="center"/>
        <w:rPr>
          <w:rFonts w:ascii="Times New Roman" w:hAnsi="Times New Roman" w:eastAsia="宋体" w:cs="Times New Roman"/>
          <w:b/>
          <w:bCs/>
          <w:kern w:val="0"/>
          <w:sz w:val="44"/>
          <w:szCs w:val="44"/>
        </w:rPr>
      </w:pPr>
    </w:p>
    <w:p>
      <w:pPr>
        <w:widowControl/>
        <w:jc w:val="center"/>
        <w:rPr>
          <w:rFonts w:ascii="Times New Roman" w:hAnsi="Times New Roman" w:eastAsia="宋体" w:cs="Times New Roman"/>
          <w:b/>
          <w:bCs/>
          <w:kern w:val="0"/>
          <w:sz w:val="44"/>
          <w:szCs w:val="44"/>
        </w:rPr>
      </w:pPr>
    </w:p>
    <w:p>
      <w:pPr>
        <w:pStyle w:val="8"/>
        <w:spacing w:line="520" w:lineRule="exact"/>
        <w:jc w:val="center"/>
        <w:rPr>
          <w:sz w:val="56"/>
          <w:szCs w:val="56"/>
        </w:rPr>
      </w:pPr>
    </w:p>
    <w:p>
      <w:pPr>
        <w:pStyle w:val="8"/>
        <w:spacing w:line="520" w:lineRule="exact"/>
        <w:jc w:val="center"/>
        <w:rPr>
          <w:sz w:val="56"/>
          <w:szCs w:val="56"/>
        </w:rPr>
      </w:pPr>
      <w:r>
        <w:rPr>
          <w:rFonts w:hint="eastAsia"/>
          <w:sz w:val="56"/>
          <w:szCs w:val="56"/>
        </w:rPr>
        <w:t>目录</w:t>
      </w:r>
    </w:p>
    <w:p>
      <w:pPr>
        <w:pStyle w:val="8"/>
        <w:spacing w:line="520" w:lineRule="exact"/>
        <w:rPr>
          <w:rFonts w:hint="eastAsia" w:ascii="仿宋_GB2312" w:hAnsi="仿宋_GB2312" w:cs="仿宋_GB2312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第一部分 区工业园单位概况</w:t>
      </w:r>
    </w:p>
    <w:p>
      <w:pPr>
        <w:pStyle w:val="8"/>
        <w:spacing w:line="520" w:lineRule="exact"/>
        <w:ind w:firstLine="700" w:firstLineChars="250"/>
        <w:rPr>
          <w:rFonts w:cs="仿宋_GB2312" w:asciiTheme="minorEastAsia" w:hAnsiTheme="minorEastAsia" w:eastAsiaTheme="minorEastAsia"/>
          <w:sz w:val="28"/>
          <w:szCs w:val="28"/>
        </w:rPr>
      </w:pPr>
      <w:r>
        <w:rPr>
          <w:rFonts w:cs="仿宋_GB2312" w:asciiTheme="minorEastAsia" w:hAnsiTheme="minorEastAsia" w:eastAsiaTheme="minorEastAsia"/>
          <w:sz w:val="28"/>
          <w:szCs w:val="28"/>
        </w:rPr>
        <w:t>一、部门职责</w:t>
      </w:r>
    </w:p>
    <w:p>
      <w:pPr>
        <w:pStyle w:val="8"/>
        <w:spacing w:line="520" w:lineRule="exact"/>
        <w:ind w:firstLine="700" w:firstLineChars="250"/>
        <w:rPr>
          <w:rFonts w:cs="仿宋_GB2312" w:asciiTheme="minorEastAsia" w:hAnsiTheme="minorEastAsia" w:eastAsiaTheme="minorEastAsia"/>
          <w:sz w:val="28"/>
          <w:szCs w:val="28"/>
        </w:rPr>
      </w:pPr>
      <w:r>
        <w:rPr>
          <w:rFonts w:cs="仿宋_GB2312" w:asciiTheme="minorEastAsia" w:hAnsiTheme="minorEastAsia" w:eastAsiaTheme="minorEastAsia"/>
          <w:sz w:val="28"/>
          <w:szCs w:val="28"/>
        </w:rPr>
        <w:t>二、机构设置</w:t>
      </w:r>
    </w:p>
    <w:p>
      <w:pPr>
        <w:pStyle w:val="8"/>
        <w:spacing w:line="520" w:lineRule="exact"/>
        <w:rPr>
          <w:rFonts w:hint="eastAsia" w:ascii="仿宋_GB2312" w:hAnsi="仿宋_GB2312" w:cs="仿宋_GB2312"/>
          <w:b/>
          <w:sz w:val="28"/>
          <w:szCs w:val="28"/>
        </w:rPr>
      </w:pPr>
      <w:r>
        <w:rPr>
          <w:rFonts w:hint="eastAsia" w:hAnsi="仿宋_GB2312"/>
          <w:b/>
          <w:sz w:val="28"/>
          <w:szCs w:val="28"/>
        </w:rPr>
        <w:t xml:space="preserve">第二部分 </w:t>
      </w:r>
      <w:r>
        <w:rPr>
          <w:rFonts w:hAnsi="仿宋_GB2312"/>
          <w:b/>
          <w:sz w:val="28"/>
          <w:szCs w:val="28"/>
        </w:rPr>
        <w:t>201</w:t>
      </w:r>
      <w:r>
        <w:rPr>
          <w:rFonts w:hint="eastAsia" w:hAnsi="仿宋_GB2312"/>
          <w:b/>
          <w:sz w:val="28"/>
          <w:szCs w:val="28"/>
        </w:rPr>
        <w:t>8年度部门决算表</w:t>
      </w:r>
    </w:p>
    <w:p>
      <w:pPr>
        <w:pStyle w:val="8"/>
        <w:spacing w:line="520" w:lineRule="exact"/>
        <w:ind w:firstLine="700" w:firstLineChars="250"/>
        <w:rPr>
          <w:rFonts w:cs="仿宋_GB2312" w:asciiTheme="minorEastAsia" w:hAnsiTheme="minorEastAsia" w:eastAsiaTheme="minorEastAsia"/>
          <w:sz w:val="28"/>
          <w:szCs w:val="28"/>
        </w:rPr>
      </w:pPr>
      <w:r>
        <w:rPr>
          <w:rFonts w:cs="仿宋_GB2312" w:asciiTheme="minorEastAsia" w:hAnsiTheme="minorEastAsia" w:eastAsiaTheme="minorEastAsia"/>
          <w:sz w:val="28"/>
          <w:szCs w:val="28"/>
        </w:rPr>
        <w:t>一、收入支出决算总表</w:t>
      </w:r>
    </w:p>
    <w:p>
      <w:pPr>
        <w:pStyle w:val="8"/>
        <w:spacing w:line="520" w:lineRule="exact"/>
        <w:ind w:firstLine="700" w:firstLineChars="250"/>
        <w:rPr>
          <w:rFonts w:cs="仿宋_GB2312" w:asciiTheme="minorEastAsia" w:hAnsiTheme="minorEastAsia" w:eastAsiaTheme="minorEastAsia"/>
          <w:sz w:val="28"/>
          <w:szCs w:val="28"/>
        </w:rPr>
      </w:pPr>
      <w:r>
        <w:rPr>
          <w:rFonts w:cs="仿宋_GB2312" w:asciiTheme="minorEastAsia" w:hAnsiTheme="minorEastAsia" w:eastAsiaTheme="minorEastAsia"/>
          <w:sz w:val="28"/>
          <w:szCs w:val="28"/>
        </w:rPr>
        <w:t>二、收入决算表</w:t>
      </w:r>
    </w:p>
    <w:p>
      <w:pPr>
        <w:pStyle w:val="8"/>
        <w:spacing w:line="520" w:lineRule="exact"/>
        <w:ind w:firstLine="700" w:firstLineChars="250"/>
        <w:rPr>
          <w:rFonts w:cs="仿宋_GB2312" w:asciiTheme="minorEastAsia" w:hAnsiTheme="minorEastAsia" w:eastAsiaTheme="minorEastAsia"/>
          <w:sz w:val="28"/>
          <w:szCs w:val="28"/>
        </w:rPr>
      </w:pPr>
      <w:r>
        <w:rPr>
          <w:rFonts w:cs="仿宋_GB2312" w:asciiTheme="minorEastAsia" w:hAnsiTheme="minorEastAsia" w:eastAsiaTheme="minorEastAsia"/>
          <w:sz w:val="28"/>
          <w:szCs w:val="28"/>
        </w:rPr>
        <w:t>三、支出决算表</w:t>
      </w:r>
    </w:p>
    <w:p>
      <w:pPr>
        <w:pStyle w:val="8"/>
        <w:spacing w:line="520" w:lineRule="exact"/>
        <w:ind w:firstLine="700" w:firstLineChars="250"/>
        <w:rPr>
          <w:rFonts w:cs="仿宋_GB2312" w:asciiTheme="minorEastAsia" w:hAnsiTheme="minorEastAsia" w:eastAsiaTheme="minorEastAsia"/>
          <w:sz w:val="28"/>
          <w:szCs w:val="28"/>
        </w:rPr>
      </w:pPr>
      <w:r>
        <w:rPr>
          <w:rFonts w:cs="仿宋_GB2312" w:asciiTheme="minorEastAsia" w:hAnsiTheme="minorEastAsia" w:eastAsiaTheme="minorEastAsia"/>
          <w:sz w:val="28"/>
          <w:szCs w:val="28"/>
        </w:rPr>
        <w:t>四、财政拨款收入支出决算总表</w:t>
      </w:r>
    </w:p>
    <w:p>
      <w:pPr>
        <w:pStyle w:val="8"/>
        <w:spacing w:line="520" w:lineRule="exact"/>
        <w:ind w:firstLine="700" w:firstLineChars="250"/>
        <w:rPr>
          <w:rFonts w:cs="仿宋_GB2312" w:asciiTheme="minorEastAsia" w:hAnsiTheme="minorEastAsia" w:eastAsiaTheme="minorEastAsia"/>
          <w:sz w:val="28"/>
          <w:szCs w:val="28"/>
        </w:rPr>
      </w:pPr>
      <w:r>
        <w:rPr>
          <w:rFonts w:cs="仿宋_GB2312" w:asciiTheme="minorEastAsia" w:hAnsiTheme="minorEastAsia" w:eastAsiaTheme="minorEastAsia"/>
          <w:sz w:val="28"/>
          <w:szCs w:val="28"/>
        </w:rPr>
        <w:t>五、一般公共预算财政拨款支出决算表</w:t>
      </w:r>
    </w:p>
    <w:p>
      <w:pPr>
        <w:pStyle w:val="8"/>
        <w:spacing w:line="520" w:lineRule="exact"/>
        <w:ind w:firstLine="700" w:firstLineChars="250"/>
        <w:rPr>
          <w:rFonts w:cs="仿宋_GB2312" w:asciiTheme="minorEastAsia" w:hAnsiTheme="minorEastAsia" w:eastAsiaTheme="minorEastAsia"/>
          <w:sz w:val="28"/>
          <w:szCs w:val="28"/>
        </w:rPr>
      </w:pPr>
      <w:r>
        <w:rPr>
          <w:rFonts w:cs="仿宋_GB2312" w:asciiTheme="minorEastAsia" w:hAnsiTheme="minorEastAsia" w:eastAsiaTheme="minorEastAsia"/>
          <w:sz w:val="28"/>
          <w:szCs w:val="28"/>
        </w:rPr>
        <w:t>六、一般公共预算财政拨款基本支出决算表</w:t>
      </w:r>
    </w:p>
    <w:p>
      <w:pPr>
        <w:pStyle w:val="8"/>
        <w:spacing w:line="520" w:lineRule="exact"/>
        <w:ind w:firstLine="700" w:firstLineChars="250"/>
        <w:rPr>
          <w:rFonts w:cs="仿宋_GB2312" w:asciiTheme="minorEastAsia" w:hAnsiTheme="minorEastAsia" w:eastAsiaTheme="minorEastAsia"/>
          <w:sz w:val="28"/>
          <w:szCs w:val="28"/>
        </w:rPr>
      </w:pPr>
      <w:r>
        <w:rPr>
          <w:rFonts w:cs="仿宋_GB2312" w:asciiTheme="minorEastAsia" w:hAnsiTheme="minorEastAsia" w:eastAsiaTheme="minorEastAsia"/>
          <w:sz w:val="28"/>
          <w:szCs w:val="28"/>
        </w:rPr>
        <w:t>七、一般公共预算财政拨款“三公”经费支出决算表</w:t>
      </w:r>
    </w:p>
    <w:p>
      <w:pPr>
        <w:pStyle w:val="8"/>
        <w:spacing w:line="520" w:lineRule="exact"/>
        <w:ind w:firstLine="700" w:firstLineChars="250"/>
        <w:rPr>
          <w:rFonts w:cs="仿宋_GB2312" w:asciiTheme="minorEastAsia" w:hAnsiTheme="minorEastAsia" w:eastAsiaTheme="minorEastAsia"/>
          <w:sz w:val="28"/>
          <w:szCs w:val="28"/>
        </w:rPr>
      </w:pPr>
      <w:r>
        <w:rPr>
          <w:rFonts w:cs="仿宋_GB2312" w:asciiTheme="minorEastAsia" w:hAnsiTheme="minorEastAsia" w:eastAsiaTheme="minorEastAsia"/>
          <w:sz w:val="28"/>
          <w:szCs w:val="28"/>
        </w:rPr>
        <w:t>八、政府性基金预算财政拨款收入支出决算表</w:t>
      </w:r>
    </w:p>
    <w:p>
      <w:pPr>
        <w:pStyle w:val="8"/>
        <w:spacing w:line="520" w:lineRule="exact"/>
        <w:rPr>
          <w:rFonts w:hint="eastAsia" w:ascii="仿宋_GB2312" w:hAnsi="仿宋_GB2312" w:cs="仿宋_GB2312"/>
          <w:b/>
          <w:sz w:val="28"/>
          <w:szCs w:val="28"/>
        </w:rPr>
      </w:pPr>
      <w:r>
        <w:rPr>
          <w:rFonts w:hint="eastAsia" w:hAnsi="仿宋_GB2312"/>
          <w:b/>
          <w:sz w:val="28"/>
          <w:szCs w:val="28"/>
        </w:rPr>
        <w:t xml:space="preserve">第三部分 </w:t>
      </w:r>
      <w:r>
        <w:rPr>
          <w:rFonts w:hAnsi="仿宋_GB2312"/>
          <w:b/>
          <w:sz w:val="28"/>
          <w:szCs w:val="28"/>
        </w:rPr>
        <w:t>201</w:t>
      </w:r>
      <w:r>
        <w:rPr>
          <w:rFonts w:hint="eastAsia" w:hAnsi="仿宋_GB2312"/>
          <w:b/>
          <w:sz w:val="28"/>
          <w:szCs w:val="28"/>
        </w:rPr>
        <w:t>8年度部门决算情况说明</w:t>
      </w:r>
    </w:p>
    <w:p>
      <w:pPr>
        <w:pStyle w:val="8"/>
        <w:spacing w:line="520" w:lineRule="exact"/>
        <w:ind w:firstLine="700" w:firstLineChars="250"/>
        <w:rPr>
          <w:rFonts w:cs="仿宋_GB2312" w:asciiTheme="minorEastAsia" w:hAnsiTheme="minorEastAsia" w:eastAsiaTheme="minorEastAsia"/>
          <w:sz w:val="28"/>
          <w:szCs w:val="28"/>
        </w:rPr>
      </w:pPr>
      <w:r>
        <w:rPr>
          <w:rFonts w:cs="仿宋_GB2312" w:asciiTheme="minorEastAsia" w:hAnsiTheme="minorEastAsia" w:eastAsiaTheme="minorEastAsia"/>
          <w:sz w:val="28"/>
          <w:szCs w:val="28"/>
        </w:rPr>
        <w:t>一、收入支出决算总体情况说明</w:t>
      </w:r>
    </w:p>
    <w:p>
      <w:pPr>
        <w:spacing w:line="520" w:lineRule="exact"/>
        <w:ind w:firstLine="700" w:firstLineChars="250"/>
        <w:jc w:val="left"/>
        <w:rPr>
          <w:rFonts w:hint="eastAsia" w:ascii="仿宋_GB2312" w:hAnsi="仿宋_GB2312" w:cs="仿宋_GB2312"/>
          <w:sz w:val="28"/>
          <w:szCs w:val="28"/>
        </w:rPr>
      </w:pPr>
      <w:r>
        <w:rPr>
          <w:rFonts w:ascii="仿宋_GB2312" w:hAnsi="仿宋_GB2312" w:cs="仿宋_GB2312"/>
          <w:sz w:val="28"/>
          <w:szCs w:val="28"/>
        </w:rPr>
        <w:t>二、收入决算情况说明</w:t>
      </w:r>
    </w:p>
    <w:p>
      <w:pPr>
        <w:autoSpaceDE w:val="0"/>
        <w:autoSpaceDN w:val="0"/>
        <w:adjustRightInd w:val="0"/>
        <w:spacing w:line="520" w:lineRule="exact"/>
        <w:ind w:firstLine="700" w:firstLineChars="250"/>
        <w:jc w:val="left"/>
        <w:rPr>
          <w:rFonts w:hint="eastAsia" w:ascii="仿宋_GB2312" w:hAnsi="仿宋_GB2312" w:cs="仿宋_GB2312"/>
          <w:color w:val="000000"/>
          <w:kern w:val="0"/>
          <w:sz w:val="28"/>
          <w:szCs w:val="28"/>
        </w:rPr>
      </w:pPr>
      <w:r>
        <w:rPr>
          <w:rFonts w:ascii="仿宋_GB2312" w:hAnsi="仿宋_GB2312" w:cs="仿宋_GB2312"/>
          <w:color w:val="000000"/>
          <w:kern w:val="0"/>
          <w:sz w:val="28"/>
          <w:szCs w:val="28"/>
        </w:rPr>
        <w:t>三、支出决算情况说明</w:t>
      </w:r>
    </w:p>
    <w:p>
      <w:pPr>
        <w:autoSpaceDE w:val="0"/>
        <w:autoSpaceDN w:val="0"/>
        <w:adjustRightInd w:val="0"/>
        <w:spacing w:line="520" w:lineRule="exact"/>
        <w:ind w:firstLine="700" w:firstLineChars="250"/>
        <w:jc w:val="left"/>
        <w:rPr>
          <w:rFonts w:hint="eastAsia" w:ascii="仿宋_GB2312" w:hAnsi="仿宋_GB2312" w:cs="仿宋_GB2312"/>
          <w:color w:val="000000"/>
          <w:kern w:val="0"/>
          <w:sz w:val="28"/>
          <w:szCs w:val="28"/>
        </w:rPr>
      </w:pPr>
      <w:r>
        <w:rPr>
          <w:rFonts w:ascii="仿宋_GB2312" w:hAnsi="仿宋_GB2312" w:cs="仿宋_GB2312"/>
          <w:color w:val="000000"/>
          <w:kern w:val="0"/>
          <w:sz w:val="28"/>
          <w:szCs w:val="28"/>
        </w:rPr>
        <w:t>四、财政拨款收入支出决算总体情况说明</w:t>
      </w:r>
    </w:p>
    <w:p>
      <w:pPr>
        <w:autoSpaceDE w:val="0"/>
        <w:autoSpaceDN w:val="0"/>
        <w:adjustRightInd w:val="0"/>
        <w:spacing w:line="520" w:lineRule="exact"/>
        <w:ind w:firstLine="700" w:firstLineChars="250"/>
        <w:jc w:val="left"/>
        <w:rPr>
          <w:rFonts w:hint="eastAsia" w:ascii="仿宋_GB2312" w:hAnsi="仿宋_GB2312" w:cs="仿宋_GB2312"/>
          <w:color w:val="000000"/>
          <w:kern w:val="0"/>
          <w:sz w:val="28"/>
          <w:szCs w:val="28"/>
        </w:rPr>
      </w:pPr>
      <w:r>
        <w:rPr>
          <w:rFonts w:ascii="仿宋_GB2312" w:hAnsi="仿宋_GB2312" w:cs="仿宋_GB2312"/>
          <w:color w:val="000000"/>
          <w:kern w:val="0"/>
          <w:sz w:val="28"/>
          <w:szCs w:val="28"/>
        </w:rPr>
        <w:t>五、一般公共预算财政拨款支出决算情况说明</w:t>
      </w:r>
    </w:p>
    <w:p>
      <w:pPr>
        <w:autoSpaceDE w:val="0"/>
        <w:autoSpaceDN w:val="0"/>
        <w:adjustRightInd w:val="0"/>
        <w:spacing w:line="520" w:lineRule="exact"/>
        <w:ind w:firstLine="700" w:firstLineChars="250"/>
        <w:jc w:val="left"/>
        <w:rPr>
          <w:rFonts w:hint="eastAsia" w:ascii="仿宋_GB2312" w:hAnsi="仿宋_GB2312" w:cs="仿宋_GB2312"/>
          <w:color w:val="000000"/>
          <w:kern w:val="0"/>
          <w:sz w:val="28"/>
          <w:szCs w:val="28"/>
        </w:rPr>
      </w:pPr>
      <w:r>
        <w:rPr>
          <w:rFonts w:ascii="仿宋_GB2312" w:hAnsi="仿宋_GB2312" w:cs="仿宋_GB2312"/>
          <w:color w:val="000000"/>
          <w:kern w:val="0"/>
          <w:sz w:val="28"/>
          <w:szCs w:val="28"/>
        </w:rPr>
        <w:t>六、一般公共预算财政拨款基本支出决算情况说明</w:t>
      </w:r>
    </w:p>
    <w:p>
      <w:pPr>
        <w:autoSpaceDE w:val="0"/>
        <w:autoSpaceDN w:val="0"/>
        <w:adjustRightInd w:val="0"/>
        <w:spacing w:line="520" w:lineRule="exact"/>
        <w:ind w:firstLine="700" w:firstLineChars="250"/>
        <w:jc w:val="left"/>
        <w:rPr>
          <w:rFonts w:hint="eastAsia" w:ascii="仿宋_GB2312" w:hAnsi="仿宋_GB2312" w:cs="仿宋_GB2312"/>
          <w:color w:val="000000"/>
          <w:kern w:val="0"/>
          <w:sz w:val="28"/>
          <w:szCs w:val="28"/>
        </w:rPr>
      </w:pPr>
      <w:r>
        <w:rPr>
          <w:rFonts w:ascii="仿宋_GB2312" w:hAnsi="仿宋_GB2312" w:cs="仿宋_GB2312"/>
          <w:color w:val="000000"/>
          <w:kern w:val="0"/>
          <w:sz w:val="28"/>
          <w:szCs w:val="28"/>
        </w:rPr>
        <w:t>七、一般公共预算财政拨款三公经费支出决算情况说明</w:t>
      </w:r>
    </w:p>
    <w:p>
      <w:pPr>
        <w:autoSpaceDE w:val="0"/>
        <w:autoSpaceDN w:val="0"/>
        <w:adjustRightInd w:val="0"/>
        <w:spacing w:line="520" w:lineRule="exact"/>
        <w:ind w:firstLine="700" w:firstLineChars="250"/>
        <w:jc w:val="left"/>
        <w:rPr>
          <w:rFonts w:hint="eastAsia" w:ascii="仿宋_GB2312" w:hAnsi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cs="仿宋_GB2312"/>
          <w:color w:val="000000"/>
          <w:kern w:val="0"/>
          <w:sz w:val="28"/>
          <w:szCs w:val="28"/>
        </w:rPr>
        <w:t>八</w:t>
      </w:r>
      <w:r>
        <w:rPr>
          <w:rFonts w:ascii="仿宋_GB2312" w:hAnsi="仿宋_GB2312" w:cs="仿宋_GB2312"/>
          <w:color w:val="000000"/>
          <w:kern w:val="0"/>
          <w:sz w:val="28"/>
          <w:szCs w:val="28"/>
        </w:rPr>
        <w:t>、</w:t>
      </w:r>
      <w:r>
        <w:rPr>
          <w:rFonts w:hint="eastAsia" w:ascii="仿宋_GB2312" w:hAnsi="仿宋_GB2312" w:cs="仿宋_GB2312"/>
          <w:color w:val="000000"/>
          <w:kern w:val="0"/>
          <w:sz w:val="28"/>
          <w:szCs w:val="28"/>
        </w:rPr>
        <w:t>政府性基金预算收入支出决算情况</w:t>
      </w:r>
    </w:p>
    <w:p>
      <w:pPr>
        <w:autoSpaceDE w:val="0"/>
        <w:autoSpaceDN w:val="0"/>
        <w:adjustRightInd w:val="0"/>
        <w:spacing w:line="520" w:lineRule="exact"/>
        <w:ind w:firstLine="700" w:firstLineChars="250"/>
        <w:jc w:val="left"/>
        <w:rPr>
          <w:rFonts w:hint="eastAsia" w:ascii="仿宋_GB2312" w:hAnsi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cs="仿宋_GB2312"/>
          <w:color w:val="000000"/>
          <w:kern w:val="0"/>
          <w:sz w:val="28"/>
          <w:szCs w:val="28"/>
        </w:rPr>
        <w:t>九</w:t>
      </w:r>
      <w:r>
        <w:rPr>
          <w:rFonts w:ascii="仿宋_GB2312" w:hAnsi="仿宋_GB2312" w:cs="仿宋_GB2312"/>
          <w:color w:val="000000"/>
          <w:kern w:val="0"/>
          <w:sz w:val="28"/>
          <w:szCs w:val="28"/>
        </w:rPr>
        <w:t>、</w:t>
      </w:r>
      <w:r>
        <w:rPr>
          <w:rFonts w:hint="eastAsia" w:ascii="仿宋_GB2312" w:hAnsi="仿宋_GB2312" w:cs="仿宋_GB2312"/>
          <w:color w:val="000000"/>
          <w:kern w:val="0"/>
          <w:sz w:val="28"/>
          <w:szCs w:val="28"/>
        </w:rPr>
        <w:t>关于2018年度预算绩效情况说明</w:t>
      </w:r>
    </w:p>
    <w:p>
      <w:pPr>
        <w:autoSpaceDE w:val="0"/>
        <w:autoSpaceDN w:val="0"/>
        <w:adjustRightInd w:val="0"/>
        <w:spacing w:line="520" w:lineRule="exact"/>
        <w:ind w:firstLine="700" w:firstLineChars="250"/>
        <w:jc w:val="left"/>
        <w:rPr>
          <w:rFonts w:hint="eastAsia" w:ascii="仿宋_GB2312" w:hAnsi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cs="仿宋_GB2312"/>
          <w:color w:val="000000"/>
          <w:kern w:val="0"/>
          <w:sz w:val="28"/>
          <w:szCs w:val="28"/>
        </w:rPr>
        <w:t>十</w:t>
      </w:r>
      <w:r>
        <w:rPr>
          <w:rFonts w:ascii="仿宋_GB2312" w:hAnsi="仿宋_GB2312" w:cs="仿宋_GB2312"/>
          <w:color w:val="000000"/>
          <w:kern w:val="0"/>
          <w:sz w:val="28"/>
          <w:szCs w:val="28"/>
        </w:rPr>
        <w:t>、其他重要事项</w:t>
      </w:r>
    </w:p>
    <w:p>
      <w:pPr>
        <w:autoSpaceDE w:val="0"/>
        <w:autoSpaceDN w:val="0"/>
        <w:adjustRightInd w:val="0"/>
        <w:spacing w:line="520" w:lineRule="exact"/>
        <w:jc w:val="left"/>
        <w:rPr>
          <w:rFonts w:ascii="黑体" w:hAnsi="黑体" w:eastAsia="黑体" w:cs="仿宋_GB2312"/>
          <w:b/>
          <w:color w:val="000000"/>
          <w:kern w:val="0"/>
          <w:sz w:val="28"/>
          <w:szCs w:val="28"/>
        </w:rPr>
      </w:pPr>
      <w:r>
        <w:rPr>
          <w:rFonts w:ascii="黑体" w:hAnsi="黑体" w:eastAsia="黑体" w:cs="黑体"/>
          <w:b/>
          <w:color w:val="000000"/>
          <w:kern w:val="0"/>
          <w:sz w:val="28"/>
          <w:szCs w:val="28"/>
        </w:rPr>
        <w:t>第四部分名词解释</w:t>
      </w:r>
    </w:p>
    <w:p>
      <w:pPr>
        <w:jc w:val="center"/>
        <w:rPr>
          <w:sz w:val="72"/>
          <w:szCs w:val="72"/>
        </w:rPr>
      </w:pPr>
    </w:p>
    <w:p>
      <w:pPr>
        <w:widowControl/>
        <w:rPr>
          <w:rFonts w:ascii="Times New Roman" w:hAnsi="Times New Roman" w:eastAsia="方正小标宋_GBK" w:cs="Times New Roman"/>
          <w:bCs/>
          <w:kern w:val="0"/>
          <w:sz w:val="44"/>
          <w:szCs w:val="44"/>
        </w:rPr>
      </w:pPr>
    </w:p>
    <w:p>
      <w:pPr>
        <w:widowControl/>
        <w:spacing w:line="600" w:lineRule="exact"/>
        <w:rPr>
          <w:rFonts w:ascii="Times New Roman" w:hAnsi="Times New Roman" w:eastAsia="黑体" w:cs="Times New Roman"/>
          <w:bCs/>
          <w:kern w:val="0"/>
          <w:sz w:val="32"/>
          <w:szCs w:val="32"/>
        </w:rPr>
      </w:pPr>
    </w:p>
    <w:p>
      <w:pPr>
        <w:widowControl/>
        <w:spacing w:line="600" w:lineRule="exact"/>
        <w:rPr>
          <w:rFonts w:ascii="Times New Roman" w:hAnsi="Times New Roman" w:eastAsia="黑体" w:cs="Times New Roman"/>
          <w:bCs/>
          <w:kern w:val="0"/>
          <w:sz w:val="32"/>
          <w:szCs w:val="32"/>
        </w:rPr>
      </w:pPr>
      <w:r>
        <w:rPr>
          <w:rFonts w:ascii="Times New Roman" w:hAnsi="Times New Roman" w:eastAsia="黑体" w:cs="Times New Roman"/>
          <w:bCs/>
          <w:kern w:val="0"/>
          <w:sz w:val="32"/>
          <w:szCs w:val="32"/>
        </w:rPr>
        <w:t xml:space="preserve">第一部分  </w:t>
      </w:r>
      <w:r>
        <w:rPr>
          <w:rFonts w:hint="eastAsia" w:ascii="Times New Roman" w:hAnsi="Times New Roman" w:eastAsia="黑体" w:cs="Times New Roman"/>
          <w:bCs/>
          <w:kern w:val="0"/>
          <w:sz w:val="32"/>
          <w:szCs w:val="32"/>
        </w:rPr>
        <w:t>怀化市鹤城工业集中区管理委员会</w:t>
      </w:r>
      <w:r>
        <w:rPr>
          <w:rFonts w:ascii="Times New Roman" w:hAnsi="Times New Roman" w:eastAsia="黑体" w:cs="Times New Roman"/>
          <w:bCs/>
          <w:kern w:val="0"/>
          <w:sz w:val="32"/>
          <w:szCs w:val="32"/>
        </w:rPr>
        <w:t>概况</w:t>
      </w:r>
    </w:p>
    <w:p>
      <w:pPr>
        <w:widowControl/>
        <w:spacing w:line="600" w:lineRule="exact"/>
        <w:rPr>
          <w:rFonts w:ascii="Times New Roman" w:hAnsi="Times New Roman" w:eastAsia="仿宋_GB2312" w:cs="Times New Roman"/>
          <w:bCs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bCs/>
          <w:kern w:val="0"/>
          <w:sz w:val="32"/>
          <w:szCs w:val="32"/>
        </w:rPr>
        <w:t>一、部门职责</w:t>
      </w:r>
    </w:p>
    <w:p>
      <w:pPr>
        <w:rPr>
          <w:sz w:val="28"/>
          <w:szCs w:val="28"/>
        </w:rPr>
      </w:pPr>
      <w:r>
        <w:rPr>
          <w:rFonts w:hint="eastAsia" w:ascii="Times New Roman" w:hAnsi="Times New Roman" w:eastAsia="仿宋_GB2312" w:cs="Times New Roman"/>
          <w:bCs/>
          <w:kern w:val="0"/>
          <w:sz w:val="32"/>
          <w:szCs w:val="32"/>
        </w:rPr>
        <w:t>1、贯彻执行国家、省、市有关法律、法规和政策，执行区政府的有关规定、命令。</w:t>
      </w:r>
    </w:p>
    <w:p>
      <w:pPr>
        <w:rPr>
          <w:rFonts w:ascii="Times New Roman" w:hAnsi="Times New Roman" w:eastAsia="仿宋_GB2312" w:cs="Times New Roman"/>
          <w:bCs/>
          <w:kern w:val="0"/>
          <w:sz w:val="32"/>
          <w:szCs w:val="32"/>
        </w:rPr>
      </w:pPr>
      <w:r>
        <w:rPr>
          <w:rFonts w:hint="eastAsia"/>
          <w:sz w:val="28"/>
          <w:szCs w:val="28"/>
        </w:rPr>
        <w:t>2、</w:t>
      </w:r>
      <w:r>
        <w:rPr>
          <w:rFonts w:hint="eastAsia" w:ascii="Times New Roman" w:hAnsi="Times New Roman" w:eastAsia="仿宋_GB2312" w:cs="Times New Roman"/>
          <w:bCs/>
          <w:kern w:val="0"/>
          <w:sz w:val="32"/>
          <w:szCs w:val="32"/>
        </w:rPr>
        <w:t>负责拟定工业集中区发展规划、产业政策和优惠政策，以及各项具体管理办法、服务工作规定等，经区委、区政府批准后组织实施。</w:t>
      </w:r>
    </w:p>
    <w:p>
      <w:pPr>
        <w:rPr>
          <w:rFonts w:ascii="Times New Roman" w:hAnsi="Times New Roman" w:eastAsia="仿宋_GB2312" w:cs="Times New Roman"/>
          <w:bCs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bCs/>
          <w:kern w:val="0"/>
          <w:sz w:val="32"/>
          <w:szCs w:val="32"/>
        </w:rPr>
        <w:t>3、负责管理、协调工业集中区内涉及规划、建设、环保、国土等行政职能部门的相关工作；管理协调入驻企业项目建设，在区委、区政府的授权下承担工业集中区内各项基础设施、公用设施及建设项目的管理责任，组织实施工业集中区内基础设施及公共设施的建设管理工作。</w:t>
      </w:r>
    </w:p>
    <w:p>
      <w:pPr>
        <w:rPr>
          <w:rFonts w:ascii="Times New Roman" w:hAnsi="Times New Roman" w:eastAsia="仿宋_GB2312" w:cs="Times New Roman"/>
          <w:bCs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bCs/>
          <w:kern w:val="0"/>
          <w:sz w:val="32"/>
          <w:szCs w:val="32"/>
        </w:rPr>
        <w:t>4、负责工业集中区内的企业指导、协调和各项服务工作，协助相关部门做好企业管理和行业管理。</w:t>
      </w:r>
    </w:p>
    <w:p>
      <w:pPr>
        <w:rPr>
          <w:rFonts w:ascii="Times New Roman" w:hAnsi="Times New Roman" w:eastAsia="仿宋_GB2312" w:cs="Times New Roman"/>
          <w:bCs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bCs/>
          <w:kern w:val="0"/>
          <w:sz w:val="32"/>
          <w:szCs w:val="32"/>
        </w:rPr>
        <w:t>5、负责工业集中区内的对外宣传、招商引资工作。</w:t>
      </w:r>
    </w:p>
    <w:p>
      <w:pPr>
        <w:rPr>
          <w:rFonts w:ascii="Times New Roman" w:hAnsi="Times New Roman" w:eastAsia="仿宋_GB2312" w:cs="Times New Roman"/>
          <w:bCs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bCs/>
          <w:kern w:val="0"/>
          <w:sz w:val="32"/>
          <w:szCs w:val="32"/>
        </w:rPr>
        <w:t>6、负责工业集中区内的法制宣传工作，组织协调有关部门开展行政综合执法，查处违法行为。</w:t>
      </w:r>
    </w:p>
    <w:p>
      <w:pPr>
        <w:rPr>
          <w:rFonts w:ascii="Times New Roman" w:hAnsi="Times New Roman" w:eastAsia="仿宋_GB2312" w:cs="Times New Roman"/>
          <w:bCs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bCs/>
          <w:kern w:val="0"/>
          <w:sz w:val="32"/>
          <w:szCs w:val="32"/>
        </w:rPr>
        <w:t>7、负责制定工业集中区管理规定并组织实施；负责工业集中区的内部管理、统计报表及各种数据资料的上报工作。</w:t>
      </w:r>
    </w:p>
    <w:p>
      <w:pPr>
        <w:rPr>
          <w:rFonts w:ascii="Times New Roman" w:hAnsi="Times New Roman" w:eastAsia="仿宋_GB2312" w:cs="Times New Roman"/>
          <w:bCs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bCs/>
          <w:kern w:val="0"/>
          <w:sz w:val="32"/>
          <w:szCs w:val="32"/>
        </w:rPr>
        <w:t>8、负责协调工业集中区内的财税、国有资产。</w:t>
      </w:r>
    </w:p>
    <w:p>
      <w:pPr>
        <w:rPr>
          <w:rFonts w:ascii="Times New Roman" w:hAnsi="Times New Roman" w:eastAsia="仿宋_GB2312" w:cs="Times New Roman"/>
          <w:bCs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bCs/>
          <w:kern w:val="0"/>
          <w:sz w:val="32"/>
          <w:szCs w:val="32"/>
        </w:rPr>
        <w:t>9、负责工业集中区社会治安和安全生产等管理工作。</w:t>
      </w:r>
    </w:p>
    <w:p>
      <w:pPr>
        <w:rPr>
          <w:rFonts w:ascii="Times New Roman" w:hAnsi="Times New Roman" w:eastAsia="仿宋_GB2312" w:cs="Times New Roman"/>
          <w:bCs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bCs/>
          <w:kern w:val="0"/>
          <w:sz w:val="32"/>
          <w:szCs w:val="32"/>
        </w:rPr>
        <w:t>10、行使区政府和有关职能部门依法授予的其它职能。</w:t>
      </w:r>
    </w:p>
    <w:p>
      <w:pPr>
        <w:rPr>
          <w:rFonts w:ascii="Times New Roman" w:hAnsi="Times New Roman" w:eastAsia="仿宋_GB2312" w:cs="Times New Roman"/>
          <w:bCs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bCs/>
          <w:kern w:val="0"/>
          <w:sz w:val="32"/>
          <w:szCs w:val="32"/>
        </w:rPr>
        <w:t>11、承办区委、区政府交办的其它事项。</w:t>
      </w:r>
    </w:p>
    <w:p>
      <w:pPr>
        <w:ind w:firstLine="560" w:firstLineChars="200"/>
        <w:rPr>
          <w:sz w:val="28"/>
          <w:szCs w:val="28"/>
        </w:rPr>
      </w:pPr>
    </w:p>
    <w:p>
      <w:pPr>
        <w:widowControl/>
        <w:spacing w:line="600" w:lineRule="exact"/>
        <w:rPr>
          <w:rFonts w:ascii="Times New Roman" w:hAnsi="Times New Roman" w:eastAsia="仿宋_GB2312" w:cs="Times New Roman"/>
          <w:bCs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bCs/>
          <w:kern w:val="0"/>
          <w:sz w:val="32"/>
          <w:szCs w:val="32"/>
        </w:rPr>
        <w:t>二、机构设置</w:t>
      </w:r>
      <w:r>
        <w:rPr>
          <w:rFonts w:hint="eastAsia" w:ascii="Times New Roman" w:hAnsi="Times New Roman" w:eastAsia="仿宋_GB2312" w:cs="Times New Roman"/>
          <w:bCs/>
          <w:kern w:val="0"/>
          <w:sz w:val="32"/>
          <w:szCs w:val="32"/>
        </w:rPr>
        <w:t>及决算单位构成</w:t>
      </w:r>
    </w:p>
    <w:p>
      <w:pPr>
        <w:widowControl/>
        <w:spacing w:line="600" w:lineRule="exact"/>
        <w:rPr>
          <w:rFonts w:ascii="Times New Roman" w:hAnsi="Times New Roman" w:eastAsia="仿宋_GB2312" w:cs="Times New Roman"/>
          <w:bCs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bCs/>
          <w:kern w:val="0"/>
          <w:sz w:val="32"/>
          <w:szCs w:val="32"/>
        </w:rPr>
        <w:t>（一）内设机构设置。鹤城工业集中区管理委员会</w:t>
      </w:r>
      <w:r>
        <w:rPr>
          <w:rFonts w:ascii="Times New Roman" w:hAnsi="Times New Roman" w:eastAsia="仿宋_GB2312" w:cs="Times New Roman"/>
          <w:bCs/>
          <w:kern w:val="0"/>
          <w:sz w:val="32"/>
          <w:szCs w:val="32"/>
        </w:rPr>
        <w:t>单位</w:t>
      </w:r>
      <w:r>
        <w:rPr>
          <w:rFonts w:hint="eastAsia" w:ascii="Times New Roman" w:hAnsi="Times New Roman" w:eastAsia="仿宋_GB2312" w:cs="Times New Roman"/>
          <w:bCs/>
          <w:kern w:val="0"/>
          <w:sz w:val="32"/>
          <w:szCs w:val="32"/>
        </w:rPr>
        <w:t>内设机构包括：办公室、经济发展服务股、规划建设股、财务股四个职能股室。</w:t>
      </w:r>
    </w:p>
    <w:p>
      <w:pPr>
        <w:widowControl/>
        <w:spacing w:line="600" w:lineRule="exact"/>
        <w:rPr>
          <w:rFonts w:ascii="Times New Roman" w:hAnsi="Times New Roman" w:eastAsia="仿宋_GB2312" w:cs="Times New Roman"/>
          <w:bCs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bCs/>
          <w:kern w:val="0"/>
          <w:sz w:val="32"/>
          <w:szCs w:val="32"/>
        </w:rPr>
        <w:t>（二）决算单位构成。鹤城工业集中区管理委员会2018年部门决算汇总公开单位构成包括：鹤城工业集中区管理委员会本级。</w:t>
      </w:r>
    </w:p>
    <w:p>
      <w:pPr>
        <w:widowControl/>
        <w:spacing w:line="600" w:lineRule="exact"/>
        <w:rPr>
          <w:rFonts w:ascii="Times New Roman" w:hAnsi="Times New Roman" w:eastAsia="黑体" w:cs="Times New Roman"/>
          <w:bCs/>
          <w:kern w:val="0"/>
          <w:sz w:val="32"/>
          <w:szCs w:val="32"/>
        </w:rPr>
      </w:pPr>
      <w:r>
        <w:rPr>
          <w:rFonts w:ascii="Times New Roman" w:hAnsi="Times New Roman" w:eastAsia="黑体" w:cs="Times New Roman"/>
          <w:bCs/>
          <w:kern w:val="0"/>
          <w:sz w:val="32"/>
          <w:szCs w:val="32"/>
        </w:rPr>
        <w:t xml:space="preserve">第二部分 </w:t>
      </w:r>
      <w:r>
        <w:rPr>
          <w:rFonts w:hint="eastAsia" w:ascii="Times New Roman" w:hAnsi="Times New Roman" w:eastAsia="黑体" w:cs="Times New Roman"/>
          <w:bCs/>
          <w:kern w:val="0"/>
          <w:sz w:val="32"/>
          <w:szCs w:val="32"/>
        </w:rPr>
        <w:t>鹤城工业集中区管理委员会</w:t>
      </w:r>
      <w:r>
        <w:rPr>
          <w:rFonts w:ascii="Times New Roman" w:hAnsi="Times New Roman" w:eastAsia="黑体" w:cs="Times New Roman"/>
          <w:bCs/>
          <w:kern w:val="0"/>
          <w:sz w:val="32"/>
          <w:szCs w:val="32"/>
        </w:rPr>
        <w:t>单位201</w:t>
      </w:r>
      <w:r>
        <w:rPr>
          <w:rFonts w:hint="eastAsia" w:ascii="Times New Roman" w:hAnsi="Times New Roman" w:eastAsia="黑体" w:cs="Times New Roman"/>
          <w:bCs/>
          <w:kern w:val="0"/>
          <w:sz w:val="32"/>
          <w:szCs w:val="32"/>
        </w:rPr>
        <w:t>8</w:t>
      </w:r>
      <w:r>
        <w:rPr>
          <w:rFonts w:ascii="Times New Roman" w:hAnsi="Times New Roman" w:eastAsia="黑体" w:cs="Times New Roman"/>
          <w:bCs/>
          <w:kern w:val="0"/>
          <w:sz w:val="32"/>
          <w:szCs w:val="32"/>
        </w:rPr>
        <w:t>年度部门决算表</w:t>
      </w:r>
    </w:p>
    <w:p>
      <w:pPr>
        <w:widowControl/>
        <w:rPr>
          <w:rFonts w:ascii="仿宋_GB2312" w:eastAsia="仿宋_GB2312"/>
          <w:kern w:val="0"/>
          <w:sz w:val="32"/>
          <w:szCs w:val="32"/>
        </w:rPr>
      </w:pPr>
    </w:p>
    <w:p>
      <w:pPr>
        <w:widowControl/>
        <w:rPr>
          <w:rFonts w:ascii="仿宋_GB2312" w:eastAsia="仿宋_GB2312"/>
          <w:kern w:val="0"/>
          <w:sz w:val="32"/>
          <w:szCs w:val="32"/>
        </w:rPr>
      </w:pPr>
    </w:p>
    <w:p>
      <w:pPr>
        <w:widowControl/>
        <w:rPr>
          <w:rFonts w:ascii="仿宋_GB2312" w:eastAsia="仿宋_GB2312"/>
          <w:b/>
          <w:bCs/>
          <w:kern w:val="0"/>
          <w:sz w:val="32"/>
          <w:szCs w:val="32"/>
        </w:rPr>
      </w:pPr>
      <w:r>
        <w:rPr>
          <w:rFonts w:hint="eastAsia" w:ascii="仿宋_GB2312" w:eastAsia="仿宋_GB2312"/>
          <w:kern w:val="0"/>
          <w:sz w:val="32"/>
          <w:szCs w:val="32"/>
        </w:rPr>
        <w:t>（公开表格附后）</w:t>
      </w:r>
    </w:p>
    <w:p>
      <w:pPr>
        <w:widowControl/>
        <w:jc w:val="left"/>
        <w:rPr>
          <w:rFonts w:ascii="Times New Roman" w:hAnsi="宋体" w:eastAsia="仿宋_GB2312" w:cs="Times New Roman"/>
          <w:kern w:val="0"/>
          <w:sz w:val="24"/>
          <w:szCs w:val="24"/>
        </w:rPr>
      </w:pPr>
    </w:p>
    <w:p>
      <w:pPr>
        <w:widowControl/>
        <w:jc w:val="left"/>
        <w:rPr>
          <w:rFonts w:ascii="Times New Roman" w:hAnsi="宋体" w:eastAsia="仿宋_GB2312" w:cs="Times New Roman"/>
          <w:kern w:val="0"/>
          <w:sz w:val="24"/>
          <w:szCs w:val="24"/>
        </w:rPr>
      </w:pPr>
    </w:p>
    <w:p>
      <w:pPr>
        <w:widowControl/>
        <w:jc w:val="left"/>
        <w:rPr>
          <w:rFonts w:ascii="Times New Roman" w:hAnsi="宋体" w:eastAsia="仿宋_GB2312" w:cs="Times New Roman"/>
          <w:kern w:val="0"/>
          <w:sz w:val="24"/>
          <w:szCs w:val="24"/>
        </w:rPr>
      </w:pPr>
    </w:p>
    <w:p>
      <w:pPr>
        <w:widowControl/>
        <w:spacing w:line="600" w:lineRule="exact"/>
        <w:rPr>
          <w:rFonts w:ascii="Times New Roman" w:hAnsi="Times New Roman" w:eastAsia="黑体" w:cs="Times New Roman"/>
          <w:bCs/>
          <w:kern w:val="0"/>
          <w:sz w:val="32"/>
          <w:szCs w:val="32"/>
        </w:rPr>
      </w:pPr>
    </w:p>
    <w:p>
      <w:pPr>
        <w:widowControl/>
        <w:spacing w:line="600" w:lineRule="exact"/>
        <w:rPr>
          <w:rFonts w:ascii="Times New Roman" w:hAnsi="Times New Roman" w:eastAsia="黑体" w:cs="Times New Roman"/>
          <w:bCs/>
          <w:kern w:val="0"/>
          <w:sz w:val="32"/>
          <w:szCs w:val="32"/>
        </w:rPr>
      </w:pPr>
    </w:p>
    <w:p>
      <w:pPr>
        <w:widowControl/>
        <w:spacing w:line="600" w:lineRule="exact"/>
        <w:rPr>
          <w:rFonts w:ascii="Times New Roman" w:hAnsi="Times New Roman" w:eastAsia="黑体" w:cs="Times New Roman"/>
          <w:bCs/>
          <w:kern w:val="0"/>
          <w:sz w:val="32"/>
          <w:szCs w:val="32"/>
        </w:rPr>
      </w:pPr>
    </w:p>
    <w:p>
      <w:pPr>
        <w:widowControl/>
        <w:spacing w:line="600" w:lineRule="exact"/>
        <w:rPr>
          <w:rFonts w:ascii="Times New Roman" w:hAnsi="Times New Roman" w:eastAsia="黑体" w:cs="Times New Roman"/>
          <w:bCs/>
          <w:kern w:val="0"/>
          <w:sz w:val="32"/>
          <w:szCs w:val="32"/>
        </w:rPr>
      </w:pPr>
    </w:p>
    <w:p>
      <w:pPr>
        <w:widowControl/>
        <w:spacing w:line="600" w:lineRule="exact"/>
        <w:rPr>
          <w:rFonts w:ascii="Times New Roman" w:hAnsi="Times New Roman" w:eastAsia="黑体" w:cs="Times New Roman"/>
          <w:bCs/>
          <w:kern w:val="0"/>
          <w:sz w:val="32"/>
          <w:szCs w:val="32"/>
        </w:rPr>
      </w:pPr>
      <w:r>
        <w:rPr>
          <w:rFonts w:ascii="Times New Roman" w:hAnsi="Times New Roman" w:eastAsia="黑体" w:cs="Times New Roman"/>
          <w:bCs/>
          <w:kern w:val="0"/>
          <w:sz w:val="32"/>
          <w:szCs w:val="32"/>
        </w:rPr>
        <w:t xml:space="preserve">第三部分  </w:t>
      </w:r>
      <w:r>
        <w:rPr>
          <w:rFonts w:hint="eastAsia" w:ascii="Times New Roman" w:hAnsi="Times New Roman" w:eastAsia="黑体" w:cs="Times New Roman"/>
          <w:bCs/>
          <w:kern w:val="0"/>
          <w:sz w:val="32"/>
          <w:szCs w:val="32"/>
        </w:rPr>
        <w:t>鹤城工业集中区管理委员会</w:t>
      </w:r>
      <w:r>
        <w:rPr>
          <w:rFonts w:ascii="Times New Roman" w:hAnsi="Times New Roman" w:eastAsia="黑体" w:cs="Times New Roman"/>
          <w:bCs/>
          <w:kern w:val="0"/>
          <w:sz w:val="32"/>
          <w:szCs w:val="32"/>
        </w:rPr>
        <w:t>201</w:t>
      </w:r>
      <w:r>
        <w:rPr>
          <w:rFonts w:hint="eastAsia" w:ascii="Times New Roman" w:hAnsi="Times New Roman" w:eastAsia="黑体" w:cs="Times New Roman"/>
          <w:bCs/>
          <w:kern w:val="0"/>
          <w:sz w:val="32"/>
          <w:szCs w:val="32"/>
        </w:rPr>
        <w:t>8</w:t>
      </w:r>
      <w:r>
        <w:rPr>
          <w:rFonts w:ascii="Times New Roman" w:hAnsi="Times New Roman" w:eastAsia="黑体" w:cs="Times New Roman"/>
          <w:bCs/>
          <w:kern w:val="0"/>
          <w:sz w:val="32"/>
          <w:szCs w:val="32"/>
        </w:rPr>
        <w:t>年度部门决算情况说明</w:t>
      </w:r>
    </w:p>
    <w:p>
      <w:pPr>
        <w:widowControl/>
        <w:spacing w:line="600" w:lineRule="exact"/>
        <w:ind w:firstLine="480" w:firstLineChars="150"/>
        <w:rPr>
          <w:rFonts w:ascii="Times New Roman" w:hAnsi="Times New Roman" w:eastAsia="黑体" w:cs="Times New Roman"/>
          <w:bCs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kern w:val="0"/>
          <w:sz w:val="32"/>
          <w:szCs w:val="32"/>
        </w:rPr>
        <w:t>一、收入支出决算总体情况说明</w:t>
      </w:r>
    </w:p>
    <w:p>
      <w:pPr>
        <w:snapToGrid w:val="0"/>
        <w:spacing w:line="600" w:lineRule="exact"/>
        <w:ind w:firstLine="640" w:firstLineChars="20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2018年填报部门决算收入4286.69万元，较上年相比增加36.16万元，增长0.8%，主要原因为借调在编人员工资关系转入，产业发展资金财政拨款增加；支出4286.69万元。比上年增加36.16万元，增长0.8%，主要原因为借调在编人员工资关系转入，产业发展资金财政拨款增加。</w:t>
      </w:r>
    </w:p>
    <w:p>
      <w:pPr>
        <w:widowControl/>
        <w:spacing w:line="600" w:lineRule="exact"/>
        <w:ind w:firstLine="640" w:firstLineChars="200"/>
        <w:rPr>
          <w:rFonts w:ascii="Times New Roman" w:hAnsi="Times New Roman" w:eastAsia="仿宋_GB2312" w:cs="Times New Roman"/>
          <w:b/>
          <w:bCs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kern w:val="0"/>
          <w:sz w:val="32"/>
          <w:szCs w:val="32"/>
        </w:rPr>
        <w:t>二、收入决算情况说明</w:t>
      </w:r>
    </w:p>
    <w:p>
      <w:pPr>
        <w:snapToGrid w:val="0"/>
        <w:spacing w:line="600" w:lineRule="exact"/>
        <w:ind w:firstLine="640" w:firstLineChars="20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2018年填报部门决算收入4286.69万元，其中财政拨款4286.69万元，上级补助收入0万元，事业收入0万元，其他收入0万元。</w:t>
      </w:r>
    </w:p>
    <w:p>
      <w:pPr>
        <w:widowControl/>
        <w:spacing w:line="600" w:lineRule="exact"/>
        <w:ind w:firstLine="640" w:firstLineChars="200"/>
        <w:rPr>
          <w:rFonts w:ascii="Times New Roman" w:hAnsi="Times New Roman" w:eastAsia="仿宋_GB2312" w:cs="Times New Roman"/>
          <w:b/>
          <w:bCs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kern w:val="0"/>
          <w:sz w:val="32"/>
          <w:szCs w:val="32"/>
        </w:rPr>
        <w:t>三、支出决算情况说明</w:t>
      </w:r>
    </w:p>
    <w:p>
      <w:pPr>
        <w:snapToGrid w:val="0"/>
        <w:spacing w:line="600" w:lineRule="exact"/>
        <w:ind w:firstLine="640" w:firstLineChars="20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2018年填报部门决算支出4286.69万元，其中基本支出115.75万元，项目支出4170.94万元。</w:t>
      </w:r>
    </w:p>
    <w:p>
      <w:pPr>
        <w:widowControl/>
        <w:spacing w:line="600" w:lineRule="exact"/>
        <w:rPr>
          <w:rFonts w:ascii="Times New Roman" w:hAnsi="Times New Roman" w:eastAsia="仿宋_GB2312" w:cs="Times New Roman"/>
          <w:b/>
          <w:bCs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kern w:val="0"/>
          <w:sz w:val="32"/>
          <w:szCs w:val="32"/>
        </w:rPr>
        <w:t>四、财政拨款收入支出决算总体情况说明</w:t>
      </w:r>
    </w:p>
    <w:p>
      <w:pPr>
        <w:snapToGrid w:val="0"/>
        <w:spacing w:line="600" w:lineRule="exact"/>
        <w:ind w:firstLine="640" w:firstLineChars="20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2018年填报部门决算财政拨款收入4286.69万元，较上年相比增加36.16万元，增长0.8%，主要原因为借调在编人员工资关系转入，产业发展资金财政拨款增加；财政拨款支出4286.69万元。比上年增加36.16万元，增长0.8%，主要原因为借调在编人员工资关系转入，产业发展资金财政拨款增加。</w:t>
      </w:r>
    </w:p>
    <w:p>
      <w:pPr>
        <w:widowControl/>
        <w:spacing w:line="600" w:lineRule="exact"/>
        <w:rPr>
          <w:rFonts w:ascii="Times New Roman" w:hAnsi="Times New Roman" w:eastAsia="仿宋_GB2312" w:cs="Times New Roman"/>
          <w:b/>
          <w:bCs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kern w:val="0"/>
          <w:sz w:val="32"/>
          <w:szCs w:val="32"/>
        </w:rPr>
        <w:t>五、一般公共预算财政拨款支出决算情况说明</w:t>
      </w:r>
    </w:p>
    <w:p>
      <w:pPr>
        <w:widowControl/>
        <w:spacing w:line="600" w:lineRule="exact"/>
        <w:rPr>
          <w:rFonts w:ascii="Times New Roman" w:hAnsi="Times New Roman" w:eastAsia="仿宋_GB2312" w:cs="Times New Roman"/>
          <w:b/>
          <w:bCs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kern w:val="0"/>
          <w:sz w:val="32"/>
          <w:szCs w:val="32"/>
        </w:rPr>
        <w:t>（一）财政拨款支出决算总体情况。</w:t>
      </w:r>
    </w:p>
    <w:p>
      <w:pPr>
        <w:widowControl/>
        <w:spacing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2018年填报部门决算一般公共预算支出2943.99万元，占本年支出68%。其中工资福利支出173.91万元，商品和服务支出80.42万元，资本性支出1025.88万元，对企业补助1663.19万元，其他支出0.59万元。比上年增长2599.96万元，主要原因是对企业补助及资本性支出增加，人员工资福利支出增加。</w:t>
      </w:r>
    </w:p>
    <w:p>
      <w:pPr>
        <w:widowControl/>
        <w:spacing w:line="600" w:lineRule="exact"/>
        <w:rPr>
          <w:rFonts w:ascii="Times New Roman" w:hAnsi="Times New Roman" w:eastAsia="仿宋_GB2312" w:cs="Times New Roman"/>
          <w:b/>
          <w:bCs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kern w:val="0"/>
          <w:sz w:val="32"/>
          <w:szCs w:val="32"/>
        </w:rPr>
        <w:t>（二）财政拨款支出决算结构情况。</w:t>
      </w:r>
    </w:p>
    <w:p>
      <w:pPr>
        <w:widowControl/>
        <w:spacing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2018年填报部门决算财政拨款支出4286.69万元，占本年支出100%。</w:t>
      </w:r>
    </w:p>
    <w:p>
      <w:pPr>
        <w:widowControl/>
        <w:spacing w:line="600" w:lineRule="exact"/>
        <w:rPr>
          <w:rFonts w:ascii="Times New Roman" w:hAnsi="Times New Roman" w:eastAsia="仿宋_GB2312" w:cs="Times New Roman"/>
          <w:b/>
          <w:bCs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bCs/>
          <w:kern w:val="0"/>
          <w:sz w:val="32"/>
          <w:szCs w:val="32"/>
        </w:rPr>
        <w:t>（三）财政拨款支出决算具体情况。</w:t>
      </w:r>
    </w:p>
    <w:p>
      <w:pPr>
        <w:widowControl/>
        <w:spacing w:line="600" w:lineRule="exact"/>
        <w:ind w:firstLine="640" w:firstLineChars="200"/>
        <w:rPr>
          <w:rFonts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本部门2018年</w:t>
      </w:r>
      <w:r>
        <w:rPr>
          <w:rFonts w:hint="eastAsia" w:ascii="仿宋" w:hAnsi="仿宋" w:eastAsia="仿宋"/>
          <w:sz w:val="32"/>
          <w:szCs w:val="32"/>
        </w:rPr>
        <w:t>度财政拨款决算数支出4286.69万元，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与年初预算数作对比，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减少了12761.93万元，主要原因是：大部分政府基金收入均未到位，土地未招拍挂。</w:t>
      </w:r>
    </w:p>
    <w:p>
      <w:pPr>
        <w:widowControl/>
        <w:spacing w:line="600" w:lineRule="exact"/>
        <w:ind w:firstLine="640" w:firstLineChars="200"/>
        <w:rPr>
          <w:rFonts w:ascii="Times New Roman" w:hAnsi="Times New Roman" w:eastAsia="仿宋_GB2312" w:cs="Times New Roman"/>
          <w:bCs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bCs/>
          <w:kern w:val="0"/>
          <w:sz w:val="32"/>
          <w:szCs w:val="32"/>
        </w:rPr>
        <w:t>六、一般公共预算财政拨款基本支出决算情况说明</w:t>
      </w:r>
    </w:p>
    <w:p>
      <w:pPr>
        <w:widowControl/>
        <w:spacing w:line="600" w:lineRule="exact"/>
        <w:ind w:firstLine="640" w:firstLineChars="200"/>
        <w:rPr>
          <w:rFonts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基本支出由工资福利支出、商品和服务支出、资本性支出三大块构成。工资福利支出92.33万元占支出80%、商品和服务支出20.49万元占支出18%、资本性支出2.93万元占支出2%。与去年相比人员经费增加43.81万元，公用经费减少44.09万元，主要原因是厉行节约，控制各项经费开支。</w:t>
      </w:r>
    </w:p>
    <w:p>
      <w:pPr>
        <w:widowControl/>
        <w:spacing w:line="600" w:lineRule="exact"/>
        <w:ind w:firstLine="640" w:firstLineChars="200"/>
        <w:rPr>
          <w:rFonts w:ascii="Times New Roman" w:hAnsi="Times New Roman" w:eastAsia="仿宋_GB2312" w:cs="Times New Roman"/>
          <w:bCs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bCs/>
          <w:kern w:val="0"/>
          <w:sz w:val="32"/>
          <w:szCs w:val="32"/>
        </w:rPr>
        <w:t>七、一般公共预算财政拨款“三公”经费支出决算情况说明</w:t>
      </w:r>
    </w:p>
    <w:p>
      <w:pPr>
        <w:widowControl/>
        <w:spacing w:line="600" w:lineRule="exact"/>
        <w:ind w:firstLine="640" w:firstLineChars="200"/>
        <w:rPr>
          <w:rFonts w:ascii="Times New Roman" w:hAnsi="Times New Roman" w:eastAsia="仿宋_GB2312" w:cs="Times New Roman"/>
          <w:bCs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bCs/>
          <w:kern w:val="0"/>
          <w:sz w:val="32"/>
          <w:szCs w:val="32"/>
        </w:rPr>
        <w:t>（一）“三公”经费财政拨款支出决算总体情况说明。</w:t>
      </w:r>
    </w:p>
    <w:p>
      <w:pPr>
        <w:spacing w:line="360" w:lineRule="auto"/>
        <w:ind w:firstLine="852"/>
        <w:rPr>
          <w:rFonts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2018年“三公”经费为0万元，其中</w:t>
      </w:r>
      <w:r>
        <w:rPr>
          <w:rFonts w:hint="eastAsia" w:ascii="仿宋_GB2312" w:hAnsi="仿宋_GB2312" w:eastAsia="仿宋_GB2312" w:cs="仿宋_GB2312"/>
          <w:sz w:val="32"/>
          <w:szCs w:val="32"/>
        </w:rPr>
        <w:t>为因公出国（境）费用0万元，因公出国（境）团组数0次0人。公务接待费0万元，公务接待0次0人。公务用车运行维护费0万元，无公务用车购置费，无公务用车运行费。现有公务用车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辆，未新增车辆。</w:t>
      </w:r>
    </w:p>
    <w:p>
      <w:pPr>
        <w:widowControl/>
        <w:spacing w:line="600" w:lineRule="exact"/>
        <w:ind w:firstLine="800" w:firstLineChars="250"/>
        <w:rPr>
          <w:rFonts w:ascii="Times New Roman" w:hAnsi="Times New Roman" w:eastAsia="仿宋_GB2312" w:cs="Times New Roman"/>
          <w:bCs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bCs/>
          <w:kern w:val="0"/>
          <w:sz w:val="32"/>
          <w:szCs w:val="32"/>
        </w:rPr>
        <w:t>（二）“三公”经费财政拨款支出决算具体情况说明。</w:t>
      </w:r>
    </w:p>
    <w:p>
      <w:pPr>
        <w:widowControl/>
        <w:spacing w:line="600" w:lineRule="exact"/>
        <w:ind w:firstLine="960" w:firstLineChars="300"/>
        <w:rPr>
          <w:rFonts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“三公”经费为0万元，</w:t>
      </w:r>
      <w:r>
        <w:rPr>
          <w:rFonts w:hint="eastAsia" w:ascii="仿宋_GB2312" w:hAnsi="仿宋_GB2312" w:eastAsia="仿宋_GB2312" w:cs="仿宋_GB2312"/>
          <w:sz w:val="32"/>
          <w:szCs w:val="32"/>
        </w:rPr>
        <w:t>因公出国（境）费用0万元、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团组人数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0人、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公务用车购置支出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0万元、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购置数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0辆</w:t>
      </w:r>
      <w:r>
        <w:rPr>
          <w:rFonts w:hint="eastAsia" w:ascii="仿宋_GB2312" w:hAnsi="仿宋_GB2312" w:eastAsia="仿宋_GB2312" w:cs="仿宋_GB2312"/>
          <w:sz w:val="32"/>
          <w:szCs w:val="32"/>
        </w:rPr>
        <w:t>、公务用车保有量为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，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公务接待费支出</w:t>
      </w:r>
      <w:r>
        <w:rPr>
          <w:rFonts w:hint="eastAsia" w:ascii="仿宋_GB2312" w:hAnsi="仿宋_GB2312" w:eastAsia="仿宋_GB2312" w:cs="仿宋_GB2312"/>
          <w:sz w:val="32"/>
          <w:szCs w:val="32"/>
        </w:rPr>
        <w:t>0万元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接待批次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0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人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。</w:t>
      </w:r>
    </w:p>
    <w:p>
      <w:pPr>
        <w:widowControl/>
        <w:spacing w:line="600" w:lineRule="exact"/>
        <w:ind w:firstLine="320" w:firstLineChars="100"/>
        <w:rPr>
          <w:rFonts w:ascii="Times New Roman" w:hAnsi="Times New Roman" w:eastAsia="仿宋_GB2312" w:cs="Times New Roman"/>
          <w:bCs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bCs/>
          <w:kern w:val="0"/>
          <w:sz w:val="32"/>
          <w:szCs w:val="32"/>
        </w:rPr>
        <w:t>八、政府性基金预算收入支出决算情况</w:t>
      </w:r>
      <w:bookmarkStart w:id="0" w:name="_GoBack"/>
      <w:bookmarkEnd w:id="0"/>
    </w:p>
    <w:p>
      <w:pPr>
        <w:spacing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2018年政府性基金预算财政拨款收入1342.7万元；年初结转和结余0万元；支出1342.7万元，其中基本支出0万元，项目支出1342.7万元；年末结转和结余0万元。</w:t>
      </w:r>
    </w:p>
    <w:p>
      <w:pPr>
        <w:widowControl/>
        <w:spacing w:line="600" w:lineRule="exact"/>
        <w:ind w:firstLine="640" w:firstLineChars="200"/>
        <w:rPr>
          <w:rFonts w:ascii="Times New Roman" w:hAnsi="Times New Roman" w:eastAsia="仿宋_GB2312" w:cs="Times New Roman"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kern w:val="0"/>
          <w:sz w:val="32"/>
          <w:szCs w:val="32"/>
        </w:rPr>
        <w:t>九、关于201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8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年度预算绩效情况说明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2018</w:t>
      </w:r>
      <w:r>
        <w:rPr>
          <w:rFonts w:hint="eastAsia" w:eastAsia="仿宋_GB2312"/>
          <w:kern w:val="0"/>
          <w:sz w:val="32"/>
          <w:szCs w:val="32"/>
        </w:rPr>
        <w:t>年本</w:t>
      </w:r>
      <w:r>
        <w:rPr>
          <w:rFonts w:hint="eastAsia" w:ascii="仿宋" w:hAnsi="仿宋" w:eastAsia="仿宋"/>
          <w:sz w:val="32"/>
          <w:szCs w:val="32"/>
        </w:rPr>
        <w:t>单位</w:t>
      </w:r>
      <w:r>
        <w:rPr>
          <w:rFonts w:hint="eastAsia" w:eastAsia="仿宋_GB2312"/>
          <w:kern w:val="0"/>
          <w:sz w:val="32"/>
          <w:szCs w:val="32"/>
        </w:rPr>
        <w:t>按区财政局要求认真开展落实绩效管理工作，切实完成年度绩效目标和绩效评价工作。</w:t>
      </w:r>
    </w:p>
    <w:p>
      <w:pPr>
        <w:widowControl/>
        <w:spacing w:line="600" w:lineRule="exact"/>
        <w:ind w:firstLine="640" w:firstLineChars="200"/>
        <w:rPr>
          <w:rFonts w:ascii="Times New Roman" w:hAnsi="Times New Roman" w:eastAsia="仿宋_GB2312" w:cs="Times New Roman"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kern w:val="0"/>
          <w:sz w:val="32"/>
          <w:szCs w:val="32"/>
        </w:rPr>
        <w:t>十、其他重要事项</w:t>
      </w:r>
    </w:p>
    <w:p>
      <w:pPr>
        <w:autoSpaceDE w:val="0"/>
        <w:autoSpaceDN w:val="0"/>
        <w:adjustRightInd w:val="0"/>
        <w:spacing w:line="600" w:lineRule="exact"/>
        <w:ind w:firstLine="640" w:firstLineChars="200"/>
        <w:rPr>
          <w:rFonts w:ascii="Times New Roman" w:hAnsi="Times New Roman" w:eastAsia="仿宋_GB2312" w:cs="Times New Roman"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kern w:val="0"/>
          <w:sz w:val="32"/>
          <w:szCs w:val="32"/>
        </w:rPr>
        <w:t>（一）机关运行经费支出情况。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机关运行经费是行政或参公才有，事业单位无此一说。</w:t>
      </w:r>
    </w:p>
    <w:p>
      <w:pPr>
        <w:autoSpaceDE w:val="0"/>
        <w:autoSpaceDN w:val="0"/>
        <w:adjustRightInd w:val="0"/>
        <w:spacing w:line="600" w:lineRule="exact"/>
        <w:ind w:firstLine="640" w:firstLineChars="200"/>
        <w:rPr>
          <w:rFonts w:ascii="Times New Roman" w:hAnsi="Times New Roman" w:eastAsia="仿宋_GB2312" w:cs="Times New Roman"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kern w:val="0"/>
          <w:sz w:val="32"/>
          <w:szCs w:val="32"/>
        </w:rPr>
        <w:t>（二）政府采购支出情况。本部门201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8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年度政府采购支出总额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9.17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万元，其中：政府采购货物支出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9.17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万元、政府采购工程支出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0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万元、政府采购服务支出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0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 xml:space="preserve"> 万元。授予中小企业合同金额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0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 xml:space="preserve"> 万元，其中：授予小微企业合同金额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0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 xml:space="preserve"> 万元，占政府采购支出金额的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0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%。</w:t>
      </w:r>
    </w:p>
    <w:p>
      <w:pPr>
        <w:autoSpaceDE w:val="0"/>
        <w:autoSpaceDN w:val="0"/>
        <w:adjustRightInd w:val="0"/>
        <w:spacing w:line="600" w:lineRule="exact"/>
        <w:ind w:firstLine="800" w:firstLineChars="250"/>
        <w:rPr>
          <w:rFonts w:ascii="Times New Roman" w:hAnsi="Times New Roman" w:eastAsia="仿宋_GB2312" w:cs="Times New Roman"/>
          <w:kern w:val="0"/>
          <w:sz w:val="32"/>
          <w:szCs w:val="32"/>
        </w:rPr>
      </w:pPr>
    </w:p>
    <w:p>
      <w:pPr>
        <w:autoSpaceDE w:val="0"/>
        <w:autoSpaceDN w:val="0"/>
        <w:adjustRightInd w:val="0"/>
        <w:spacing w:line="600" w:lineRule="exact"/>
        <w:ind w:firstLine="640" w:firstLineChars="200"/>
        <w:rPr>
          <w:rFonts w:ascii="Times New Roman" w:hAnsi="Times New Roman" w:eastAsia="仿宋_GB2312" w:cs="Times New Roman"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kern w:val="0"/>
          <w:sz w:val="32"/>
          <w:szCs w:val="32"/>
        </w:rPr>
        <w:t>（三）国有资产占用情况。截至201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8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年12月31日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，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本部门共有车辆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1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辆，其中，部级领导干部用车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0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 xml:space="preserve"> 辆、一般公务用车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1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辆、一般执法执勤用车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0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辆、特种专业技术用车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0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辆、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无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其他用车；单位价值50万元以上通用设备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0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台（套），单价100万元以上专用设备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0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台（套）。</w:t>
      </w:r>
    </w:p>
    <w:p>
      <w:pPr>
        <w:widowControl/>
        <w:spacing w:line="600" w:lineRule="exact"/>
        <w:rPr>
          <w:rFonts w:ascii="Times New Roman" w:hAnsi="Times New Roman" w:eastAsia="黑体" w:cs="Times New Roman"/>
          <w:bCs/>
          <w:kern w:val="0"/>
          <w:sz w:val="32"/>
          <w:szCs w:val="32"/>
        </w:rPr>
      </w:pPr>
    </w:p>
    <w:p>
      <w:pPr>
        <w:widowControl/>
        <w:spacing w:line="600" w:lineRule="exact"/>
        <w:rPr>
          <w:rFonts w:ascii="Times New Roman" w:hAnsi="Times New Roman" w:eastAsia="黑体" w:cs="Times New Roman"/>
          <w:bCs/>
          <w:kern w:val="0"/>
          <w:sz w:val="32"/>
          <w:szCs w:val="32"/>
        </w:rPr>
      </w:pPr>
    </w:p>
    <w:p>
      <w:pPr>
        <w:widowControl/>
        <w:spacing w:line="600" w:lineRule="exact"/>
        <w:rPr>
          <w:rFonts w:ascii="Times New Roman" w:hAnsi="Times New Roman" w:eastAsia="黑体" w:cs="Times New Roman"/>
          <w:bCs/>
          <w:kern w:val="0"/>
          <w:sz w:val="32"/>
          <w:szCs w:val="32"/>
        </w:rPr>
      </w:pPr>
      <w:r>
        <w:rPr>
          <w:rFonts w:hint="eastAsia" w:ascii="Times New Roman" w:hAnsi="Times New Roman" w:eastAsia="黑体" w:cs="Times New Roman"/>
          <w:bCs/>
          <w:kern w:val="0"/>
          <w:sz w:val="32"/>
          <w:szCs w:val="32"/>
        </w:rPr>
        <w:t>第四部分  名词解释</w:t>
      </w:r>
    </w:p>
    <w:p>
      <w:pPr>
        <w:autoSpaceDE w:val="0"/>
        <w:autoSpaceDN w:val="0"/>
        <w:adjustRightInd w:val="0"/>
        <w:spacing w:line="600" w:lineRule="exact"/>
        <w:ind w:firstLine="640" w:firstLineChars="200"/>
        <w:rPr>
          <w:rFonts w:ascii="Times New Roman" w:hAnsi="Times New Roman" w:eastAsia="仿宋_GB2312" w:cs="Times New Roman"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kern w:val="0"/>
          <w:sz w:val="32"/>
          <w:szCs w:val="32"/>
        </w:rPr>
        <w:t>1、机关运行经费：为保障行政单位（包括参照公务员法管理的事业单位）运行，用一般公共决算拨款安排用于购买货物和服务的各项资金，包括办公及印刷费、邮电费、差旅费、会议费、福利费、日常维修费、办公用房水电费、办公用房取暖费、办公用房物业管理费、公务用车运行维护费以及其他费用。</w:t>
      </w:r>
    </w:p>
    <w:p>
      <w:pPr>
        <w:autoSpaceDE w:val="0"/>
        <w:autoSpaceDN w:val="0"/>
        <w:adjustRightInd w:val="0"/>
        <w:spacing w:line="600" w:lineRule="exact"/>
        <w:ind w:firstLine="640" w:firstLineChars="200"/>
        <w:rPr>
          <w:rFonts w:ascii="Times New Roman" w:hAnsi="Times New Roman" w:eastAsia="仿宋_GB2312" w:cs="Times New Roman"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kern w:val="0"/>
          <w:sz w:val="32"/>
          <w:szCs w:val="32"/>
        </w:rPr>
        <w:t>2．“三公”经费：纳入财政决算管理的“三公“经费， 是指用一般公共决算拨款安排的公务接待费、公务用车购置及运行维护费和因公出国(境)费。其中，公务接待费反映单位按规定开支的各类公务接待支出；公务用车购置及运行费反映单位公务用车车辆购置支出(含车辆购置税)，以及燃料费、维修费、保险费等支出；因公出国(境)费反映单公务出国(境)的国际旅费、国外城市间交通费、食宿费等支出。</w:t>
      </w:r>
    </w:p>
    <w:p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482"/>
      <w:jc w:val="center"/>
    </w:pPr>
    <w:r>
      <w:rPr>
        <w:rFonts w:hint="eastAsia"/>
        <w:b/>
        <w:sz w:val="24"/>
        <w:szCs w:val="24"/>
      </w:rPr>
      <w:t>－</w:t>
    </w:r>
    <w:r>
      <w:rPr>
        <w:rFonts w:ascii="Arial" w:hAnsi="Arial" w:cs="Arial"/>
        <w:b/>
        <w:sz w:val="21"/>
        <w:szCs w:val="21"/>
      </w:rPr>
      <w:fldChar w:fldCharType="begin"/>
    </w:r>
    <w:r>
      <w:rPr>
        <w:rFonts w:ascii="Arial" w:hAnsi="Arial" w:cs="Arial"/>
        <w:b/>
        <w:sz w:val="21"/>
        <w:szCs w:val="21"/>
      </w:rPr>
      <w:instrText xml:space="preserve">PAGE</w:instrText>
    </w:r>
    <w:r>
      <w:rPr>
        <w:rFonts w:ascii="Arial" w:hAnsi="Arial" w:cs="Arial"/>
        <w:b/>
        <w:sz w:val="21"/>
        <w:szCs w:val="21"/>
      </w:rPr>
      <w:fldChar w:fldCharType="separate"/>
    </w:r>
    <w:r>
      <w:rPr>
        <w:rFonts w:ascii="Arial" w:hAnsi="Arial" w:cs="Arial"/>
        <w:b/>
        <w:sz w:val="21"/>
        <w:szCs w:val="21"/>
      </w:rPr>
      <w:t>8</w:t>
    </w:r>
    <w:r>
      <w:rPr>
        <w:rFonts w:ascii="Arial" w:hAnsi="Arial" w:cs="Arial"/>
        <w:b/>
        <w:sz w:val="21"/>
        <w:szCs w:val="21"/>
      </w:rPr>
      <w:fldChar w:fldCharType="end"/>
    </w:r>
    <w:r>
      <w:rPr>
        <w:rFonts w:hint="eastAsia"/>
        <w:b/>
        <w:sz w:val="24"/>
        <w:szCs w:val="24"/>
      </w:rPr>
      <w:t>－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95A4A"/>
    <w:rsid w:val="002D6A9C"/>
    <w:rsid w:val="004534F7"/>
    <w:rsid w:val="00480202"/>
    <w:rsid w:val="007B4458"/>
    <w:rsid w:val="00B95A4A"/>
    <w:rsid w:val="00D305D9"/>
    <w:rsid w:val="2BC32C50"/>
    <w:rsid w:val="53D67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字符"/>
    <w:basedOn w:val="5"/>
    <w:link w:val="2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眉 字符"/>
    <w:basedOn w:val="5"/>
    <w:link w:val="3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paragraph" w:customStyle="1" w:styleId="8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eastAsia="黑体" w:cs="黑体" w:hAnsiTheme="minorHAnsi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9</Pages>
  <Words>476</Words>
  <Characters>2716</Characters>
  <Lines>22</Lines>
  <Paragraphs>6</Paragraphs>
  <TotalTime>4</TotalTime>
  <ScaleCrop>false</ScaleCrop>
  <LinksUpToDate>false</LinksUpToDate>
  <CharactersWithSpaces>3186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2021-06-04T08:43:00Z</dcterms:created>
  <dc:creator>gk</dc:creator>
  <cp:lastModifiedBy>Administrator</cp:lastModifiedBy>
  <dcterms:modified xsi:type="dcterms:W3CDTF">2021-06-09T02:31:09Z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4F35F05591BC4C27889585312F6DE999</vt:lpwstr>
  </property>
</Properties>
</file>