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DD35F9">
      <w:pPr>
        <w:widowControl/>
        <w:jc w:val="center"/>
        <w:rPr>
          <w:rFonts w:ascii="Times New Roman" w:eastAsia="方正小标宋_GBK" w:hAnsi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hint="eastAsia"/>
          <w:bCs/>
          <w:kern w:val="0"/>
          <w:sz w:val="72"/>
          <w:szCs w:val="72"/>
        </w:rPr>
        <w:t>区政法委单位</w:t>
      </w:r>
      <w:r>
        <w:rPr>
          <w:rFonts w:ascii="Times New Roman" w:eastAsia="方正小标宋_GBK" w:hAnsi="Times New Roman"/>
          <w:bCs/>
          <w:kern w:val="0"/>
          <w:sz w:val="72"/>
          <w:szCs w:val="72"/>
        </w:rPr>
        <w:t>2018</w:t>
      </w:r>
      <w:r>
        <w:rPr>
          <w:rFonts w:ascii="Times New Roman" w:eastAsia="方正小标宋_GBK" w:hAnsi="Times New Roman" w:hint="eastAsia"/>
          <w:bCs/>
          <w:kern w:val="0"/>
          <w:sz w:val="72"/>
          <w:szCs w:val="72"/>
        </w:rPr>
        <w:t>年度</w:t>
      </w:r>
    </w:p>
    <w:p w:rsidR="004B5140" w:rsidRDefault="00DD35F9">
      <w:pPr>
        <w:widowControl/>
        <w:jc w:val="center"/>
        <w:rPr>
          <w:rFonts w:ascii="Times New Roman" w:eastAsia="方正小标宋_GBK" w:hAnsi="Times New Roman"/>
          <w:bCs/>
          <w:kern w:val="0"/>
          <w:sz w:val="72"/>
          <w:szCs w:val="72"/>
        </w:rPr>
      </w:pPr>
      <w:r>
        <w:rPr>
          <w:rFonts w:ascii="Times New Roman" w:eastAsia="方正小标宋_GBK" w:hAnsi="Times New Roman" w:hint="eastAsia"/>
          <w:bCs/>
          <w:kern w:val="0"/>
          <w:sz w:val="72"/>
          <w:szCs w:val="72"/>
        </w:rPr>
        <w:t>部门决算</w:t>
      </w:r>
    </w:p>
    <w:p w:rsidR="004B5140" w:rsidRDefault="004B5140">
      <w:pPr>
        <w:widowControl/>
        <w:jc w:val="center"/>
        <w:rPr>
          <w:rFonts w:ascii="Times New Roman" w:eastAsia="楷体_GB2312" w:hAnsi="Times New Roman"/>
          <w:bCs/>
          <w:kern w:val="0"/>
          <w:sz w:val="32"/>
          <w:szCs w:val="32"/>
        </w:rPr>
      </w:pPr>
    </w:p>
    <w:p w:rsidR="004B5140" w:rsidRDefault="004B5140">
      <w:pPr>
        <w:widowControl/>
        <w:jc w:val="center"/>
        <w:rPr>
          <w:rFonts w:ascii="Times New Roman" w:eastAsia="楷体_GB2312" w:hAnsi="Times New Roman"/>
          <w:bCs/>
          <w:kern w:val="0"/>
          <w:sz w:val="32"/>
          <w:szCs w:val="32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4B5140">
      <w:pPr>
        <w:widowControl/>
        <w:jc w:val="center"/>
        <w:rPr>
          <w:rFonts w:ascii="Times New Roman" w:hAnsi="Times New Roman"/>
          <w:b/>
          <w:bCs/>
          <w:kern w:val="0"/>
          <w:sz w:val="44"/>
          <w:szCs w:val="44"/>
        </w:rPr>
      </w:pPr>
    </w:p>
    <w:p w:rsidR="004B5140" w:rsidRDefault="00DD35F9">
      <w:pPr>
        <w:widowControl/>
        <w:jc w:val="center"/>
        <w:rPr>
          <w:rFonts w:ascii="Times New Roman" w:eastAsia="方正小标宋_GBK" w:hAnsi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hint="eastAsia"/>
          <w:bCs/>
          <w:kern w:val="0"/>
          <w:sz w:val="44"/>
          <w:szCs w:val="44"/>
        </w:rPr>
        <w:lastRenderedPageBreak/>
        <w:t>目录</w:t>
      </w:r>
    </w:p>
    <w:p w:rsidR="004B5140" w:rsidRDefault="004B5140">
      <w:pPr>
        <w:widowControl/>
        <w:rPr>
          <w:rFonts w:ascii="仿宋_GB2312" w:eastAsia="仿宋_GB2312" w:hAnsi="Times New Roman"/>
          <w:b/>
          <w:bCs/>
          <w:kern w:val="0"/>
          <w:sz w:val="32"/>
          <w:szCs w:val="32"/>
        </w:rPr>
      </w:pP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鹤城区委政法委单位概况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一、部门职责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二、机构设置</w:t>
      </w: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经费支出决算表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八、政府性基金预算财政拨款收入支出决算表</w:t>
      </w: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一、收入支出决算总体情况说明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二、收入决算情况说明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三、支出决算情况说明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四、财政拨款收入支出决算总体情况说明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五、一般公共预算财政拨款支出决算情况说明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lastRenderedPageBreak/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经费支出情况决算情况说明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八、政府性基金预算财政拨款收入支出决算情况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九、预算绩效情况说明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十、其他重要事项的情况说明</w:t>
      </w: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第四部分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名称解释</w:t>
      </w: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4B5140">
      <w:pPr>
        <w:widowControl/>
        <w:spacing w:line="600" w:lineRule="exact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第一部分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鹤城区委政法委单位概况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一、部门职责</w:t>
      </w:r>
    </w:p>
    <w:p w:rsidR="004B5140" w:rsidRDefault="00DD35F9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kern w:val="0"/>
          <w:sz w:val="32"/>
          <w:szCs w:val="32"/>
        </w:rPr>
      </w:pPr>
      <w:r>
        <w:rPr>
          <w:rFonts w:ascii="宋体" w:hAnsi="宋体" w:cs="宋体" w:hint="eastAsia"/>
          <w:color w:val="333333"/>
          <w:kern w:val="0"/>
          <w:sz w:val="32"/>
          <w:szCs w:val="32"/>
        </w:rPr>
        <w:t>①根据党的路线方针和中央、省、市委政法委以及区委、区政府对政法综治工作的部署，统一政法综治各部门的思想和行动；②对一定时期内的全区政法综治工作做出全局性部署，并督促贯彻落实；③组织协调、指导维护全区社会稳定的工作；④检查政法各部门执行法律、法规和党的方针、政策的情况，结合实际，研究制定严格执法、落实党的方针和政策的具体措施；⑤大力支持和严格监督政法各部门依法行使职权，指导和协调政法各部门在依法相互制约的同时密切配合，督促、推动大案要案的查处工作，研究、协调有争议的重大疑难案件；⑥组织、协调社会治安综合治理工作，推动各项措施的落实；开展全区禁毒工作、国家安全、民调工作；⑦组织推动政法综治方面的调研和宣传工作，探索政法综治工作改革，研究政法综治工作理论、政策及有关重大问题；⑧研究加强政法队伍建设和领导班子建设的措施；协助区委及其组织部门考察、管理区政法部门的领导干部；协助纪检、监察部门查处涉及政法领导干部的案件，加强政法干部队伍执法监督工作；⑨指导各街道乡镇社会治安综合治理办公室的工作；⑩办理区委、区政府和市委政法委、市综治办交办的其他事项。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二、机构设置及决算单位构成</w:t>
      </w:r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（一）内设机构设置。</w:t>
      </w:r>
    </w:p>
    <w:p w:rsidR="004B5140" w:rsidRDefault="00DD35F9">
      <w:pPr>
        <w:widowControl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仿宋_GB2312" w:eastAsia="仿宋_GB2312" w:hint="eastAsia"/>
          <w:bCs/>
          <w:kern w:val="0"/>
          <w:sz w:val="32"/>
          <w:szCs w:val="32"/>
        </w:rPr>
        <w:lastRenderedPageBreak/>
        <w:t>区政法委属全额拨款的行政单位，共有行政编制</w:t>
      </w:r>
      <w:r>
        <w:rPr>
          <w:rFonts w:ascii="仿宋_GB2312" w:eastAsia="仿宋_GB2312"/>
          <w:bCs/>
          <w:kern w:val="0"/>
          <w:sz w:val="32"/>
          <w:szCs w:val="32"/>
        </w:rPr>
        <w:t>6</w:t>
      </w:r>
      <w:r>
        <w:rPr>
          <w:rFonts w:ascii="仿宋_GB2312" w:eastAsia="仿宋_GB2312" w:hint="eastAsia"/>
          <w:bCs/>
          <w:kern w:val="0"/>
          <w:sz w:val="32"/>
          <w:szCs w:val="32"/>
        </w:rPr>
        <w:t>个，全额事业编制</w:t>
      </w:r>
      <w:r>
        <w:rPr>
          <w:rFonts w:ascii="仿宋_GB2312" w:eastAsia="仿宋_GB2312"/>
          <w:bCs/>
          <w:kern w:val="0"/>
          <w:sz w:val="32"/>
          <w:szCs w:val="32"/>
        </w:rPr>
        <w:t>20</w:t>
      </w:r>
      <w:r>
        <w:rPr>
          <w:rFonts w:ascii="仿宋_GB2312" w:eastAsia="仿宋_GB2312" w:hint="eastAsia"/>
          <w:bCs/>
          <w:kern w:val="0"/>
          <w:sz w:val="32"/>
          <w:szCs w:val="32"/>
        </w:rPr>
        <w:t>个，区综治办与区政法委一个机构两块牌子，内设职能科室有：稳定办、办公室、调研室、政工室、执法监督室、国安办、禁毒办、铁护办。</w:t>
      </w:r>
      <w:bookmarkStart w:id="0" w:name="_GoBack"/>
      <w:bookmarkEnd w:id="0"/>
    </w:p>
    <w:p w:rsidR="004B5140" w:rsidRDefault="00DD35F9">
      <w:pPr>
        <w:widowControl/>
        <w:spacing w:line="600" w:lineRule="exac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（二）决算单位构成。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区政法委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年部门决算汇总公开单位构成包括：区政法委本级。</w:t>
      </w:r>
    </w:p>
    <w:p w:rsidR="004B5140" w:rsidRDefault="004B5140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</w:p>
    <w:p w:rsidR="004B5140" w:rsidRDefault="00DD35F9" w:rsidP="00DD32D8">
      <w:pPr>
        <w:widowControl/>
        <w:spacing w:line="600" w:lineRule="exact"/>
        <w:jc w:val="center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第二部分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年度部门决算表</w:t>
      </w:r>
    </w:p>
    <w:p w:rsidR="004B5140" w:rsidRDefault="00DD35F9" w:rsidP="00DD32D8">
      <w:pPr>
        <w:widowControl/>
        <w:spacing w:line="600" w:lineRule="exact"/>
        <w:jc w:val="center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/>
          <w:bCs/>
          <w:kern w:val="0"/>
          <w:sz w:val="32"/>
          <w:szCs w:val="32"/>
        </w:rPr>
        <w:t>(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公开表格附后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)</w:t>
      </w:r>
    </w:p>
    <w:p w:rsidR="004B5140" w:rsidRDefault="004B5140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</w:p>
    <w:p w:rsidR="004B5140" w:rsidRDefault="00DD35F9">
      <w:pPr>
        <w:widowControl/>
        <w:spacing w:line="600" w:lineRule="exact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第三部分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 xml:space="preserve">  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鹤城区委政法委</w:t>
      </w:r>
      <w:r>
        <w:rPr>
          <w:rFonts w:ascii="Times New Roman" w:eastAsia="黑体" w:hAnsi="Times New Roman"/>
          <w:bCs/>
          <w:kern w:val="0"/>
          <w:sz w:val="32"/>
          <w:szCs w:val="32"/>
        </w:rPr>
        <w:t>2018</w:t>
      </w:r>
      <w:r>
        <w:rPr>
          <w:rFonts w:ascii="Times New Roman" w:eastAsia="黑体" w:hAnsi="Times New Roman" w:hint="eastAsia"/>
          <w:bCs/>
          <w:kern w:val="0"/>
          <w:sz w:val="32"/>
          <w:szCs w:val="32"/>
        </w:rPr>
        <w:t>年度部门决算情况说明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一、收入支出决算总体情况说明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区政法委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年填报部门决算收入</w:t>
      </w:r>
      <w:r>
        <w:rPr>
          <w:rFonts w:ascii="Times New Roman" w:eastAsia="仿宋_GB2312" w:hAnsi="Times New Roman"/>
          <w:kern w:val="0"/>
          <w:sz w:val="32"/>
          <w:szCs w:val="32"/>
        </w:rPr>
        <w:t>843.26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万元，较上年度增加</w:t>
      </w:r>
      <w:r>
        <w:rPr>
          <w:rFonts w:ascii="Times New Roman" w:eastAsia="仿宋_GB2312" w:hAnsi="Times New Roman"/>
          <w:kern w:val="0"/>
          <w:sz w:val="32"/>
          <w:szCs w:val="32"/>
        </w:rPr>
        <w:t>24.63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，主要是增加了增加扫黑除恶专项工作经费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万元，较上年度增加</w:t>
      </w:r>
      <w:r>
        <w:rPr>
          <w:rFonts w:ascii="Times New Roman" w:eastAsia="仿宋_GB2312" w:hAnsi="Times New Roman"/>
          <w:kern w:val="0"/>
          <w:sz w:val="32"/>
          <w:szCs w:val="32"/>
        </w:rPr>
        <w:t>7.7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万元，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主要是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年增加扫黑除恶专项工作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开支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二、收入决算情况说明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年填报部门决算收入</w:t>
      </w:r>
      <w:r>
        <w:rPr>
          <w:rFonts w:ascii="Times New Roman" w:eastAsia="仿宋_GB2312" w:hAnsi="Times New Roman"/>
          <w:kern w:val="0"/>
          <w:sz w:val="32"/>
          <w:szCs w:val="32"/>
        </w:rPr>
        <w:t>843.26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万元，其中财政拨款收入</w:t>
      </w:r>
      <w:r>
        <w:rPr>
          <w:rFonts w:ascii="Times New Roman" w:eastAsia="仿宋_GB2312" w:hAnsi="Times New Roman"/>
          <w:kern w:val="0"/>
          <w:sz w:val="32"/>
          <w:szCs w:val="32"/>
        </w:rPr>
        <w:t>838.26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万元，占全年收入</w:t>
      </w:r>
      <w:r>
        <w:rPr>
          <w:rFonts w:ascii="Times New Roman" w:eastAsia="仿宋_GB2312" w:hAnsi="Times New Roman"/>
          <w:kern w:val="0"/>
          <w:sz w:val="32"/>
          <w:szCs w:val="32"/>
        </w:rPr>
        <w:t>99%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；其他收入</w:t>
      </w:r>
      <w:r>
        <w:rPr>
          <w:rFonts w:ascii="Times New Roman" w:eastAsia="仿宋_GB2312" w:hAnsi="Times New Roman"/>
          <w:kern w:val="0"/>
          <w:sz w:val="32"/>
          <w:szCs w:val="32"/>
        </w:rPr>
        <w:t>5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万元，占全年收入</w:t>
      </w:r>
      <w:r>
        <w:rPr>
          <w:rFonts w:ascii="Times New Roman" w:eastAsia="仿宋_GB2312" w:hAnsi="Times New Roman"/>
          <w:kern w:val="0"/>
          <w:sz w:val="32"/>
          <w:szCs w:val="32"/>
        </w:rPr>
        <w:t>1%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三、支出决算情况说明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lastRenderedPageBreak/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万元，其中基本支出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万元，占全年支出</w:t>
      </w:r>
      <w:r>
        <w:rPr>
          <w:rFonts w:ascii="Times New Roman" w:eastAsia="仿宋_GB2312" w:hAnsi="Times New Roman"/>
          <w:kern w:val="0"/>
          <w:sz w:val="32"/>
          <w:szCs w:val="32"/>
        </w:rPr>
        <w:t>100%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四、财政拨款收入支出决算总体情况说明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年填报部门决算财政拨款收入</w:t>
      </w:r>
      <w:r>
        <w:rPr>
          <w:rFonts w:ascii="Times New Roman" w:eastAsia="仿宋_GB2312" w:hAnsi="Times New Roman"/>
          <w:kern w:val="0"/>
          <w:sz w:val="32"/>
          <w:szCs w:val="32"/>
        </w:rPr>
        <w:t>838.26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万元，较上年度增加</w:t>
      </w:r>
      <w:r>
        <w:rPr>
          <w:rFonts w:ascii="Times New Roman" w:eastAsia="仿宋_GB2312" w:hAnsi="Times New Roman"/>
          <w:kern w:val="0"/>
          <w:sz w:val="32"/>
          <w:szCs w:val="32"/>
        </w:rPr>
        <w:t>19.63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，主要是</w:t>
      </w:r>
      <w:r w:rsidR="00DD32D8">
        <w:rPr>
          <w:rFonts w:ascii="Times New Roman" w:eastAsia="仿宋_GB2312" w:hAnsi="Times New Roman"/>
          <w:kern w:val="0"/>
          <w:sz w:val="32"/>
          <w:szCs w:val="32"/>
        </w:rPr>
        <w:t>2018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年增加扫黑除恶专项工作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；本年支出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万元，较上年度增加</w:t>
      </w:r>
      <w:r>
        <w:rPr>
          <w:rFonts w:ascii="Times New Roman" w:eastAsia="仿宋_GB2312" w:hAnsi="Times New Roman"/>
          <w:kern w:val="0"/>
          <w:sz w:val="32"/>
          <w:szCs w:val="32"/>
        </w:rPr>
        <w:t>7.7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</w:t>
      </w:r>
      <w:r w:rsidR="00DD32D8">
        <w:rPr>
          <w:rFonts w:ascii="Times New Roman" w:eastAsia="仿宋_GB2312" w:hAnsi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主要是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年增加扫黑除恶专项工作。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五、一般公共预算财政拨款支出决算情况说明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（一）财政拨款支出决算总体情况。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黑体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年填报部门决算财政拨款支出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万元，占本年支出</w:t>
      </w:r>
      <w:r>
        <w:rPr>
          <w:rFonts w:ascii="Times New Roman" w:eastAsia="仿宋_GB2312" w:hAnsi="Times New Roman"/>
          <w:kern w:val="0"/>
          <w:sz w:val="32"/>
          <w:szCs w:val="32"/>
        </w:rPr>
        <w:t>100%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，较上年度增加</w:t>
      </w:r>
      <w:r>
        <w:rPr>
          <w:rFonts w:ascii="Times New Roman" w:eastAsia="仿宋_GB2312" w:hAnsi="Times New Roman"/>
          <w:kern w:val="0"/>
          <w:sz w:val="32"/>
          <w:szCs w:val="32"/>
        </w:rPr>
        <w:t>7.7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万元。主要是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年增加扫黑除恶专项工作。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（二）财政拨款支出决算结构情况。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年填报部门决算财政拨款支出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万元，其中基本支出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万元，占全年支出</w:t>
      </w:r>
      <w:r>
        <w:rPr>
          <w:rFonts w:ascii="Times New Roman" w:eastAsia="仿宋_GB2312" w:hAnsi="Times New Roman"/>
          <w:kern w:val="0"/>
          <w:sz w:val="32"/>
          <w:szCs w:val="32"/>
        </w:rPr>
        <w:t>100%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（三）财政拨款支出决算具体情况。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年年初预算数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1656.68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万元，其中综治雪亮工程财政政府采购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835.58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六、一般公共预算财政拨款基本支出决算情况说明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年填报部门决算一般公共预算财政拨款基本支出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万元，其中人员经费</w:t>
      </w:r>
      <w:r>
        <w:rPr>
          <w:rFonts w:ascii="Times New Roman" w:eastAsia="仿宋_GB2312" w:hAnsi="Times New Roman"/>
          <w:kern w:val="0"/>
          <w:sz w:val="32"/>
          <w:szCs w:val="32"/>
        </w:rPr>
        <w:t>516.27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万元，占基本支出</w:t>
      </w:r>
      <w:r>
        <w:rPr>
          <w:rFonts w:ascii="Times New Roman" w:eastAsia="仿宋_GB2312" w:hAnsi="Times New Roman"/>
          <w:kern w:val="0"/>
          <w:sz w:val="32"/>
          <w:szCs w:val="32"/>
        </w:rPr>
        <w:t>60%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；日常公用经费</w:t>
      </w:r>
      <w:r>
        <w:rPr>
          <w:rFonts w:ascii="Times New Roman" w:eastAsia="仿宋_GB2312" w:hAnsi="Times New Roman"/>
          <w:kern w:val="0"/>
          <w:sz w:val="32"/>
          <w:szCs w:val="32"/>
        </w:rPr>
        <w:t>338.37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万元，占基本支出</w:t>
      </w:r>
      <w:r>
        <w:rPr>
          <w:rFonts w:ascii="Times New Roman" w:eastAsia="仿宋_GB2312" w:hAnsi="Times New Roman"/>
          <w:kern w:val="0"/>
          <w:sz w:val="32"/>
          <w:szCs w:val="32"/>
        </w:rPr>
        <w:t>40%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lastRenderedPageBreak/>
        <w:t>七、一般公共预算财政拨款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经费支出决算情况说明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（一）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经费财政拨款支出决算总体情况说明。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年“三公”经费总额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1.71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万元，其中公车运行费用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0.43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万元，公务接待费用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1.28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万元。较年初预算数减少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3.29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万元，主要原因为公务用车划归公车办，车辆运行费用减少；厉行节俭，严格执行中央八项规定。</w:t>
      </w:r>
    </w:p>
    <w:p w:rsidR="004B5140" w:rsidRDefault="00DD35F9">
      <w:pPr>
        <w:widowControl/>
        <w:spacing w:line="600" w:lineRule="exact"/>
        <w:ind w:firstLineChars="250" w:firstLine="80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（二）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三公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经费财政拨款支出决算具体情况说明。</w:t>
      </w:r>
    </w:p>
    <w:p w:rsidR="004B5140" w:rsidRDefault="00DD35F9">
      <w:pPr>
        <w:widowControl/>
        <w:spacing w:line="600" w:lineRule="exact"/>
        <w:ind w:firstLineChars="250" w:firstLine="80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年“三公”经费总额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1.71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万元，其中公车运行费用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0.43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万元，公务接待费用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1.28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万元，接待批次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42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次，接待人次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312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人。</w:t>
      </w:r>
      <w:r w:rsidR="001E702C">
        <w:rPr>
          <w:rFonts w:ascii="Times New Roman" w:eastAsia="仿宋_GB2312" w:hAnsi="Times New Roman" w:hint="eastAsia"/>
          <w:bCs/>
          <w:kern w:val="0"/>
          <w:sz w:val="32"/>
          <w:szCs w:val="32"/>
        </w:rPr>
        <w:t>2018</w:t>
      </w:r>
      <w:r w:rsidR="001E702C">
        <w:rPr>
          <w:rFonts w:ascii="Times New Roman" w:eastAsia="仿宋_GB2312" w:hAnsi="Times New Roman" w:hint="eastAsia"/>
          <w:bCs/>
          <w:kern w:val="0"/>
          <w:sz w:val="32"/>
          <w:szCs w:val="32"/>
        </w:rPr>
        <w:t>年我单位公车移交公车办，公用用车保有量为</w:t>
      </w:r>
      <w:r w:rsidR="001E702C">
        <w:rPr>
          <w:rFonts w:ascii="Times New Roman" w:eastAsia="仿宋_GB2312" w:hAnsi="Times New Roman" w:hint="eastAsia"/>
          <w:bCs/>
          <w:kern w:val="0"/>
          <w:sz w:val="32"/>
          <w:szCs w:val="32"/>
        </w:rPr>
        <w:t>0.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八、政府性基金预算收入支出决算情况</w:t>
      </w:r>
    </w:p>
    <w:p w:rsidR="004B5140" w:rsidRDefault="00DD32D8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</w:t>
      </w:r>
      <w:r w:rsidR="00DD35F9">
        <w:rPr>
          <w:rFonts w:ascii="Times New Roman" w:eastAsia="仿宋_GB2312" w:hAnsi="Times New Roman" w:hint="eastAsia"/>
          <w:kern w:val="0"/>
          <w:sz w:val="32"/>
          <w:szCs w:val="32"/>
        </w:rPr>
        <w:t>本单位无政府性基金收支。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九、关于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年度预算绩效情况说明</w:t>
      </w:r>
    </w:p>
    <w:p w:rsidR="004B5140" w:rsidRDefault="00DD35F9">
      <w:pPr>
        <w:ind w:firstLine="630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2018年鹤城区委政法委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根据党的路线方针和中央、省、市委政法委以及区委、区政府对政法综治工作的部署，对一定时期内的全区政法综治等各专项工作做出全局性部署，对专项资金严格管理，专款专用并督促贯彻落实，为鹤城区的社会稳定和谐提供保障基础。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十、其他重要事项</w:t>
      </w:r>
    </w:p>
    <w:p w:rsidR="004B5140" w:rsidRDefault="00DD35F9">
      <w:pPr>
        <w:widowControl/>
        <w:spacing w:line="600" w:lineRule="exact"/>
        <w:ind w:firstLineChars="200" w:firstLine="640"/>
        <w:rPr>
          <w:rFonts w:ascii="Times New Roman" w:eastAsia="仿宋_GB2312" w:hAnsi="Times New Roman"/>
          <w:b/>
          <w:bCs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lastRenderedPageBreak/>
        <w:t>（一）机关运行经费支出情况。本部门</w:t>
      </w:r>
      <w:r>
        <w:rPr>
          <w:rFonts w:ascii="Times New Roman" w:eastAsia="仿宋_GB2312" w:hAnsi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年度机关运行经费支出</w:t>
      </w:r>
      <w:r>
        <w:rPr>
          <w:rFonts w:ascii="Times New Roman" w:eastAsia="仿宋_GB2312" w:hAnsi="Times New Roman"/>
          <w:kern w:val="0"/>
          <w:sz w:val="32"/>
          <w:szCs w:val="32"/>
        </w:rPr>
        <w:t>854.64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万元，比年初预算数减少</w:t>
      </w:r>
      <w:r>
        <w:rPr>
          <w:rFonts w:ascii="Times New Roman" w:eastAsia="仿宋_GB2312" w:hAnsi="Times New Roman"/>
          <w:kern w:val="0"/>
          <w:sz w:val="32"/>
          <w:szCs w:val="32"/>
        </w:rPr>
        <w:t>802.04</w:t>
      </w:r>
      <w:r>
        <w:rPr>
          <w:rFonts w:ascii="Times New Roman" w:eastAsia="仿宋_GB2312" w:hAnsi="Times New Roman" w:hint="eastAsia"/>
          <w:kern w:val="0"/>
          <w:sz w:val="32"/>
          <w:szCs w:val="32"/>
        </w:rPr>
        <w:t>万元，主要原因是：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综治雪亮工程</w:t>
      </w:r>
      <w:r>
        <w:rPr>
          <w:rFonts w:ascii="Times New Roman" w:eastAsia="仿宋_GB2312" w:hAnsi="Times New Roman"/>
          <w:bCs/>
          <w:kern w:val="0"/>
          <w:sz w:val="32"/>
          <w:szCs w:val="32"/>
        </w:rPr>
        <w:t>835.58</w:t>
      </w:r>
      <w:r>
        <w:rPr>
          <w:rFonts w:ascii="Times New Roman" w:eastAsia="仿宋_GB2312" w:hAnsi="Times New Roman" w:hint="eastAsia"/>
          <w:bCs/>
          <w:kern w:val="0"/>
          <w:sz w:val="32"/>
          <w:szCs w:val="32"/>
        </w:rPr>
        <w:t>万元由财政政府采购。</w:t>
      </w:r>
    </w:p>
    <w:p w:rsidR="004B5140" w:rsidRDefault="00DD35F9">
      <w:pPr>
        <w:autoSpaceDE w:val="0"/>
        <w:autoSpaceDN w:val="0"/>
        <w:adjustRightInd w:val="0"/>
        <w:spacing w:line="600" w:lineRule="exact"/>
        <w:ind w:firstLineChars="150" w:firstLine="48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（二）政府采购支出情况。</w:t>
      </w:r>
      <w:r w:rsidR="001E702C">
        <w:rPr>
          <w:rFonts w:ascii="Times New Roman" w:eastAsia="仿宋_GB2312" w:hAnsi="Times New Roman"/>
          <w:kern w:val="0"/>
          <w:sz w:val="32"/>
          <w:szCs w:val="32"/>
        </w:rPr>
        <w:br/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本部门201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8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年度政府采购支出总额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万元，其中：政府采购货物支出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万元、政府采购工程支出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万元、政府采购服务支出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万元。授予中小企业合同金额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万元，占政府采购支出总额的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%，其中：授予小微企业合同金额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万元，占政府采购支出总额的</w:t>
      </w:r>
      <w:r w:rsidR="001E702C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0</w:t>
      </w:r>
      <w:r w:rsidR="001E702C" w:rsidRPr="00214427"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%。</w:t>
      </w:r>
    </w:p>
    <w:p w:rsidR="001E702C" w:rsidRDefault="00DD35F9" w:rsidP="001E702C">
      <w:pPr>
        <w:spacing w:line="360" w:lineRule="auto"/>
        <w:rPr>
          <w:rFonts w:ascii="仿宋_GB2312" w:eastAsia="仿宋_GB2312" w:hAnsi="仿宋_GB2312" w:cs="仿宋_GB2312"/>
          <w:sz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（三）国有资产占用情况。</w:t>
      </w:r>
      <w:r w:rsidR="001E702C">
        <w:rPr>
          <w:rFonts w:ascii="仿宋_GB2312" w:eastAsia="仿宋_GB2312" w:hAnsi="仿宋_GB2312" w:cs="仿宋_GB2312" w:hint="eastAsia"/>
          <w:sz w:val="32"/>
        </w:rPr>
        <w:t>截至2018 年12 月31 日，本部门共有车辆0辆，其中，部级领导干部用车0辆、一般公务用0 辆、一般执法执勤用车0辆、特种专业技术用车0辆、其他用车0辆，单位价值50 万元以上通用设备0台（套），单价100 万元以上专用设备0台（套）。</w:t>
      </w:r>
    </w:p>
    <w:p w:rsidR="004B5140" w:rsidRDefault="00DD35F9" w:rsidP="001E702C">
      <w:pPr>
        <w:autoSpaceDE w:val="0"/>
        <w:autoSpaceDN w:val="0"/>
        <w:adjustRightInd w:val="0"/>
        <w:spacing w:line="600" w:lineRule="exact"/>
        <w:ind w:firstLineChars="150" w:firstLine="482"/>
        <w:rPr>
          <w:sz w:val="32"/>
          <w:szCs w:val="32"/>
        </w:rPr>
      </w:pPr>
      <w:r>
        <w:rPr>
          <w:rFonts w:hint="eastAsia"/>
          <w:b/>
          <w:sz w:val="32"/>
          <w:szCs w:val="32"/>
        </w:rPr>
        <w:t>第四部分</w:t>
      </w:r>
      <w:r>
        <w:rPr>
          <w:b/>
          <w:sz w:val="32"/>
          <w:szCs w:val="32"/>
        </w:rPr>
        <w:t xml:space="preserve">  </w:t>
      </w:r>
      <w:r>
        <w:rPr>
          <w:rFonts w:hint="eastAsia"/>
          <w:b/>
          <w:sz w:val="32"/>
          <w:szCs w:val="32"/>
        </w:rPr>
        <w:t>名词解释</w:t>
      </w:r>
      <w:r>
        <w:rPr>
          <w:sz w:val="32"/>
          <w:szCs w:val="32"/>
        </w:rPr>
        <w:t xml:space="preserve"> </w:t>
      </w:r>
    </w:p>
    <w:p w:rsidR="004B5140" w:rsidRDefault="00DD35F9">
      <w:pPr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、机关运行经费：为保障行政单位（包括参照公务员法管理的事业单位）运行，用一般公共决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4B5140" w:rsidRDefault="00DD35F9">
      <w:pPr>
        <w:adjustRightInd w:val="0"/>
        <w:ind w:firstLineChars="250" w:firstLine="8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2．“三公”经费：纳入财政决算管理的“三公“经费， 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是指用一般公共决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 w:rsidR="004B5140" w:rsidRDefault="004B5140">
      <w:pPr>
        <w:autoSpaceDE w:val="0"/>
        <w:autoSpaceDN w:val="0"/>
        <w:adjustRightInd w:val="0"/>
        <w:spacing w:line="360" w:lineRule="auto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</w:p>
    <w:p w:rsidR="004B5140" w:rsidRDefault="004B5140">
      <w:pPr>
        <w:rPr>
          <w:sz w:val="32"/>
          <w:szCs w:val="32"/>
        </w:rPr>
      </w:pPr>
    </w:p>
    <w:sectPr w:rsidR="004B5140" w:rsidSect="004B51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A1F" w:rsidRDefault="00833A1F" w:rsidP="004B5140">
      <w:r>
        <w:separator/>
      </w:r>
    </w:p>
  </w:endnote>
  <w:endnote w:type="continuationSeparator" w:id="1">
    <w:p w:rsidR="00833A1F" w:rsidRDefault="00833A1F" w:rsidP="004B5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4B5140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DD35F9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7455CF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7455CF">
      <w:rPr>
        <w:rFonts w:ascii="Arial" w:hAnsi="Arial" w:cs="Arial"/>
        <w:b/>
        <w:sz w:val="21"/>
        <w:szCs w:val="21"/>
      </w:rPr>
      <w:fldChar w:fldCharType="separate"/>
    </w:r>
    <w:r w:rsidR="001E702C">
      <w:rPr>
        <w:rFonts w:ascii="Arial" w:hAnsi="Arial" w:cs="Arial"/>
        <w:b/>
        <w:noProof/>
        <w:sz w:val="21"/>
        <w:szCs w:val="21"/>
      </w:rPr>
      <w:t>9</w:t>
    </w:r>
    <w:r w:rsidR="007455CF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4B5140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A1F" w:rsidRDefault="00833A1F" w:rsidP="004B5140">
      <w:r>
        <w:separator/>
      </w:r>
    </w:p>
  </w:footnote>
  <w:footnote w:type="continuationSeparator" w:id="1">
    <w:p w:rsidR="00833A1F" w:rsidRDefault="00833A1F" w:rsidP="004B5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4B5140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4B5140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140" w:rsidRDefault="004B5140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C3CCA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A305F"/>
    <w:rsid w:val="001B2D55"/>
    <w:rsid w:val="001B405B"/>
    <w:rsid w:val="001C55ED"/>
    <w:rsid w:val="001C76D8"/>
    <w:rsid w:val="001C7DF1"/>
    <w:rsid w:val="001D0B9C"/>
    <w:rsid w:val="001E702C"/>
    <w:rsid w:val="001F2ECD"/>
    <w:rsid w:val="001F6302"/>
    <w:rsid w:val="0020444E"/>
    <w:rsid w:val="00204A08"/>
    <w:rsid w:val="00221C69"/>
    <w:rsid w:val="0022273F"/>
    <w:rsid w:val="00223992"/>
    <w:rsid w:val="00277713"/>
    <w:rsid w:val="00280052"/>
    <w:rsid w:val="002831E7"/>
    <w:rsid w:val="00287575"/>
    <w:rsid w:val="002921FD"/>
    <w:rsid w:val="00294F41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5548F"/>
    <w:rsid w:val="00366933"/>
    <w:rsid w:val="003946BD"/>
    <w:rsid w:val="003B595F"/>
    <w:rsid w:val="003B62C4"/>
    <w:rsid w:val="003C0E07"/>
    <w:rsid w:val="003C0F0E"/>
    <w:rsid w:val="003C55FC"/>
    <w:rsid w:val="003C5A57"/>
    <w:rsid w:val="003D12D8"/>
    <w:rsid w:val="003D2CC3"/>
    <w:rsid w:val="003D6D54"/>
    <w:rsid w:val="003E6AD9"/>
    <w:rsid w:val="003F0B3B"/>
    <w:rsid w:val="00404E19"/>
    <w:rsid w:val="00410CB1"/>
    <w:rsid w:val="0042466C"/>
    <w:rsid w:val="00427E6F"/>
    <w:rsid w:val="004428B6"/>
    <w:rsid w:val="00443617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B5140"/>
    <w:rsid w:val="004C0128"/>
    <w:rsid w:val="004C0935"/>
    <w:rsid w:val="004C441C"/>
    <w:rsid w:val="004C668D"/>
    <w:rsid w:val="004E1D36"/>
    <w:rsid w:val="004E3160"/>
    <w:rsid w:val="004E4B4C"/>
    <w:rsid w:val="004E6C9F"/>
    <w:rsid w:val="004F2857"/>
    <w:rsid w:val="00512960"/>
    <w:rsid w:val="0051730E"/>
    <w:rsid w:val="00531E52"/>
    <w:rsid w:val="005320D8"/>
    <w:rsid w:val="0054376C"/>
    <w:rsid w:val="00557DB6"/>
    <w:rsid w:val="00561D91"/>
    <w:rsid w:val="005625A1"/>
    <w:rsid w:val="005827CA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5C65"/>
    <w:rsid w:val="006266A6"/>
    <w:rsid w:val="006500DF"/>
    <w:rsid w:val="00655CE1"/>
    <w:rsid w:val="00655FC1"/>
    <w:rsid w:val="00673152"/>
    <w:rsid w:val="00674220"/>
    <w:rsid w:val="00675927"/>
    <w:rsid w:val="006915FE"/>
    <w:rsid w:val="006C4007"/>
    <w:rsid w:val="006C6D83"/>
    <w:rsid w:val="006E4423"/>
    <w:rsid w:val="006E7641"/>
    <w:rsid w:val="007009FC"/>
    <w:rsid w:val="007022E9"/>
    <w:rsid w:val="00702D1B"/>
    <w:rsid w:val="00713E89"/>
    <w:rsid w:val="0072314F"/>
    <w:rsid w:val="00742295"/>
    <w:rsid w:val="007455CF"/>
    <w:rsid w:val="0075782C"/>
    <w:rsid w:val="00760D69"/>
    <w:rsid w:val="00762EFC"/>
    <w:rsid w:val="00763726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1E6"/>
    <w:rsid w:val="007D0245"/>
    <w:rsid w:val="007D620F"/>
    <w:rsid w:val="007D7671"/>
    <w:rsid w:val="007E6055"/>
    <w:rsid w:val="007F6521"/>
    <w:rsid w:val="00823D36"/>
    <w:rsid w:val="00825C8A"/>
    <w:rsid w:val="00833A1F"/>
    <w:rsid w:val="00842795"/>
    <w:rsid w:val="00852389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C57F6"/>
    <w:rsid w:val="008F3807"/>
    <w:rsid w:val="008F7BE8"/>
    <w:rsid w:val="00902D71"/>
    <w:rsid w:val="009138F9"/>
    <w:rsid w:val="00926A56"/>
    <w:rsid w:val="0094203D"/>
    <w:rsid w:val="00951A27"/>
    <w:rsid w:val="00955403"/>
    <w:rsid w:val="00965253"/>
    <w:rsid w:val="009664AF"/>
    <w:rsid w:val="00980BD5"/>
    <w:rsid w:val="009829F6"/>
    <w:rsid w:val="009D0544"/>
    <w:rsid w:val="009D4755"/>
    <w:rsid w:val="009E13BC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0D0A"/>
    <w:rsid w:val="00A329F9"/>
    <w:rsid w:val="00A3341D"/>
    <w:rsid w:val="00A374E2"/>
    <w:rsid w:val="00A45175"/>
    <w:rsid w:val="00A466C6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52E73"/>
    <w:rsid w:val="00B65C92"/>
    <w:rsid w:val="00B67BAC"/>
    <w:rsid w:val="00B8368D"/>
    <w:rsid w:val="00B83ABC"/>
    <w:rsid w:val="00B96849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268CE"/>
    <w:rsid w:val="00C359CB"/>
    <w:rsid w:val="00C479F1"/>
    <w:rsid w:val="00C82E51"/>
    <w:rsid w:val="00CA71E9"/>
    <w:rsid w:val="00CA7FDE"/>
    <w:rsid w:val="00CC196A"/>
    <w:rsid w:val="00CD61FA"/>
    <w:rsid w:val="00CE4DDF"/>
    <w:rsid w:val="00D02ECF"/>
    <w:rsid w:val="00D12212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D32D8"/>
    <w:rsid w:val="00DD35F9"/>
    <w:rsid w:val="00DF4BBF"/>
    <w:rsid w:val="00DF6029"/>
    <w:rsid w:val="00E1743B"/>
    <w:rsid w:val="00E3306E"/>
    <w:rsid w:val="00E53BC4"/>
    <w:rsid w:val="00E60FB5"/>
    <w:rsid w:val="00E65DF6"/>
    <w:rsid w:val="00E729EA"/>
    <w:rsid w:val="00E843F6"/>
    <w:rsid w:val="00E91D5F"/>
    <w:rsid w:val="00E96CD5"/>
    <w:rsid w:val="00E96E98"/>
    <w:rsid w:val="00EA7A53"/>
    <w:rsid w:val="00EB290C"/>
    <w:rsid w:val="00EB4CDE"/>
    <w:rsid w:val="00EC22E6"/>
    <w:rsid w:val="00EF0B41"/>
    <w:rsid w:val="00EF3103"/>
    <w:rsid w:val="00EF78BB"/>
    <w:rsid w:val="00F0012A"/>
    <w:rsid w:val="00F006CE"/>
    <w:rsid w:val="00F075F4"/>
    <w:rsid w:val="00F37E9C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20BF1B12"/>
    <w:rsid w:val="2789565E"/>
    <w:rsid w:val="407134BF"/>
    <w:rsid w:val="579137D4"/>
    <w:rsid w:val="6DE26EBA"/>
    <w:rsid w:val="75AD063D"/>
    <w:rsid w:val="7AE3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nhideWhenUsed="0"/>
    <w:lsdException w:name="Table Grid" w:locked="1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B5140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B514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rsid w:val="004B51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sid w:val="004B5140"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locked/>
    <w:rsid w:val="004B5140"/>
    <w:rPr>
      <w:rFonts w:cs="Times New Roman"/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4B514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454</Words>
  <Characters>2589</Characters>
  <Application>Microsoft Office Word</Application>
  <DocSecurity>0</DocSecurity>
  <Lines>21</Lines>
  <Paragraphs>6</Paragraphs>
  <ScaleCrop>false</ScaleCrop>
  <Company>Microsoft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gk</cp:lastModifiedBy>
  <cp:revision>2</cp:revision>
  <dcterms:created xsi:type="dcterms:W3CDTF">2021-06-04T06:25:00Z</dcterms:created>
  <dcterms:modified xsi:type="dcterms:W3CDTF">2021-06-04T06:25:00Z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A4EF993A6B564C3084995ACF77EAEEF5</vt:lpwstr>
  </property>
</Properties>
</file>