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鹤城区机关事务管理局2018年度部门决算</w:t>
      </w:r>
    </w:p>
    <w:p>
      <w:pPr>
        <w:widowControl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第一部分</w:t>
      </w:r>
      <w:r>
        <w:rPr>
          <w:rFonts w:hint="eastAsia" w:ascii="Times New Roman" w:hAnsi="Times New Roman" w:eastAsia="黑体"/>
          <w:bCs/>
          <w:kern w:val="0"/>
          <w:sz w:val="32"/>
          <w:szCs w:val="32"/>
          <w:lang w:eastAsia="zh-CN"/>
        </w:rPr>
        <w:t>鹤城区机关事务管理局</w:t>
      </w: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概况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第二部分</w:t>
      </w:r>
      <w:r>
        <w:rPr>
          <w:rFonts w:ascii="Times New Roman" w:hAnsi="Times New Roman" w:eastAsia="黑体"/>
          <w:bCs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黑体"/>
          <w:bCs/>
          <w:kern w:val="0"/>
          <w:sz w:val="32"/>
          <w:szCs w:val="32"/>
          <w:lang w:eastAsia="zh-CN"/>
        </w:rPr>
        <w:t>鹤城区机关事务管理局</w:t>
      </w:r>
      <w:r>
        <w:rPr>
          <w:rFonts w:ascii="Times New Roman" w:hAnsi="Times New Roman" w:eastAsia="黑体"/>
          <w:bCs/>
          <w:kern w:val="0"/>
          <w:sz w:val="32"/>
          <w:szCs w:val="32"/>
        </w:rPr>
        <w:t>2018</w:t>
      </w: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七、一般公共预算财政拨款</w:t>
      </w:r>
      <w:r>
        <w:rPr>
          <w:rFonts w:ascii="Times New Roman" w:hAnsi="Times New Roman" w:eastAsia="仿宋_GB2312"/>
          <w:bCs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三公</w:t>
      </w:r>
      <w:r>
        <w:rPr>
          <w:rFonts w:ascii="Times New Roman" w:hAnsi="Times New Roman" w:eastAsia="仿宋_GB2312"/>
          <w:bCs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经费支出决算表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第三部分</w:t>
      </w:r>
      <w:r>
        <w:rPr>
          <w:rFonts w:ascii="Times New Roman" w:hAnsi="Times New Roman" w:eastAsia="黑体"/>
          <w:bCs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bCs/>
          <w:kern w:val="0"/>
          <w:sz w:val="32"/>
          <w:szCs w:val="32"/>
          <w:lang w:eastAsia="zh-CN"/>
        </w:rPr>
        <w:t>鹤城区机关事务管理局</w:t>
      </w:r>
      <w:r>
        <w:rPr>
          <w:rFonts w:ascii="Times New Roman" w:hAnsi="Times New Roman" w:eastAsia="黑体"/>
          <w:bCs/>
          <w:kern w:val="0"/>
          <w:sz w:val="32"/>
          <w:szCs w:val="32"/>
        </w:rPr>
        <w:t>2018</w:t>
      </w: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七、一般公共预算财政拨款</w:t>
      </w:r>
      <w:r>
        <w:rPr>
          <w:rFonts w:ascii="Times New Roman" w:hAnsi="Times New Roman" w:eastAsia="仿宋_GB2312"/>
          <w:bCs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三公</w:t>
      </w:r>
      <w:r>
        <w:rPr>
          <w:rFonts w:ascii="Times New Roman" w:hAnsi="Times New Roman" w:eastAsia="仿宋_GB2312"/>
          <w:bCs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经费支出情况决算情况说明</w:t>
      </w:r>
    </w:p>
    <w:p>
      <w:pPr>
        <w:pStyle w:val="1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八</w:t>
      </w:r>
      <w:r>
        <w:rPr>
          <w:rFonts w:hint="eastAsia" w:ascii="Times New Roman" w:hAnsi="Times New Roman" w:eastAsia="仿宋_GB2312"/>
          <w:bCs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政府性基金预算收入支出决算情况</w:t>
      </w:r>
    </w:p>
    <w:p>
      <w:pPr>
        <w:widowControl/>
        <w:spacing w:line="600" w:lineRule="exac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预算绩效情况说明</w:t>
      </w:r>
    </w:p>
    <w:p>
      <w:pPr>
        <w:widowControl/>
        <w:spacing w:line="600" w:lineRule="exact"/>
        <w:rPr>
          <w:rFonts w:ascii="Times New Roman" w:hAnsi="Times New Roman"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Cs/>
          <w:kern w:val="0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第四部分名称解释</w:t>
      </w: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/>
          <w:b/>
          <w:bCs/>
          <w:kern w:val="0"/>
          <w:sz w:val="44"/>
          <w:szCs w:val="44"/>
        </w:rPr>
        <w:t xml:space="preserve"> 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第一部分 鹤城区机关事务管理局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部门职责及机构设置情况</w:t>
      </w:r>
    </w:p>
    <w:p>
      <w:pPr>
        <w:pStyle w:val="4"/>
        <w:shd w:val="clear" w:color="auto" w:fill="FFFFFF"/>
        <w:spacing w:before="0" w:beforeAutospacing="0" w:after="0" w:afterAutospacing="0"/>
        <w:ind w:firstLine="482" w:firstLineChars="150"/>
        <w:jc w:val="both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鹤城区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机关事务管理局主要职责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1、负责区行政中心、原区政府机关大院的管理、保障、服务工作。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2、负责区行政中心、原区政府机关大院公共机构节能、国有资产管理及公用经费管理工作。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3、负责区直单位公务用车管理工作。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4、负责区直机关政府集中采购的具体操作事宜，受委托承担集中采购目录外的项目采购。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5、负责区委、区人大、区政府、区政协四大家重要会议的统一管理及有关会务后勤工作；负责区直部门财政拨款会议的统一管理及有关会务后勤工作。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6、根据有关物业管理政策，加强对区行政中心物业管理的监管；负责原区政府机关大院的物业管理。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7、负责区行政中心办公用房统一建设及公用水电和设备设施配套规划、建设、维护等管理工作。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8、负责区行政中心消防、安全、社会治安综合治理及安全保卫应急事件处理和监控中心的管理；负责局机关计划生育管理服务工作。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9、完成区委、政府交办的其他事项。</w:t>
      </w:r>
    </w:p>
    <w:p>
      <w:pPr>
        <w:pStyle w:val="4"/>
        <w:shd w:val="clear" w:color="auto" w:fill="FFFFFF"/>
        <w:spacing w:before="0" w:beforeAutospacing="0" w:after="0" w:afterAutospacing="0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鹤城区机关事务管理局为区政府工作部门，履行机关事务管理、服务、保障职能。内设办公室、会务中心、采购中心、行管中心、财务股、公车办等6个工作机构。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决算为机关事务管理局本级。</w:t>
      </w:r>
    </w:p>
    <w:p>
      <w:pPr>
        <w:numPr>
          <w:ilvl w:val="0"/>
          <w:numId w:val="1"/>
        </w:numPr>
        <w:spacing w:line="600" w:lineRule="auto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鹤城区鹤城区机关事务管理局</w:t>
      </w:r>
    </w:p>
    <w:p>
      <w:pPr>
        <w:numPr>
          <w:numId w:val="0"/>
        </w:numPr>
        <w:spacing w:line="600" w:lineRule="auto"/>
        <w:ind w:firstLine="640" w:firstLineChars="20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2018年度部门决算表公开表格附后）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第三部分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鹤城区机关事务管理局2018年度部门决算情况说明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2018年收入1227.61万元，与2017年对比，增长63.36万元，增长5.44%，原因是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项目支出经费增加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，2018年支出1227.61万元，与2017年对比，增长63.36万元，增长5.44%，原因是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项目支出经费增加了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。 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二、收入决算情况说明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2018年填报部门决算收入1227.61万元，公共预算财政拨款1227.61万元，占本年收入100%。与上年决算数相比增加了63.36 万元，主要原因为项目支出经费增加了。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三、支出决算情况说明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2018年填报部门决算支出1227.61万元，其中基本支出1167.8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 占本年支出95.13%。项目支出59.79万元，占本年支出4.87%。与上年决算数相比增加了63.36 万元，主要原因为项目支出经费增加了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四、财政拨款收入支出决算总体情况说明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2018年填报部门决算财政拨款收入1227.61万元，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与2017年对比，增长63.36万元，增长5.44%，原因是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项目支出经费增加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支出1227.61万元，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增长5.44%，</w:t>
      </w:r>
      <w:r>
        <w:rPr>
          <w:rFonts w:hint="eastAsia" w:ascii="仿宋_GB2312" w:hAnsi="仿宋_GB2312" w:eastAsia="仿宋_GB2312" w:cs="仿宋_GB2312"/>
          <w:sz w:val="32"/>
          <w:szCs w:val="32"/>
        </w:rPr>
        <w:t>比上年增加 63.36万元，主要原因是项目支出经费增加了。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五、一般公共预算财政拨款支出决算情况说明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（一）财政拨款支出决算总体情况。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2018年填报部门决算财政拨款支出1227.61万元，占本年支出100%。比上年增加 63.36万元，主要原因是项目支出经费增加了。</w:t>
      </w:r>
    </w:p>
    <w:p>
      <w:pPr>
        <w:spacing w:line="600" w:lineRule="auto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（二）财政拨款支出决算结构情况。</w:t>
      </w:r>
    </w:p>
    <w:p>
      <w:pPr>
        <w:spacing w:line="600" w:lineRule="auto"/>
        <w:ind w:firstLine="944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2018年填报部门决算财政拨款支出1227.61万元，占本年支出100%。</w:t>
      </w:r>
    </w:p>
    <w:p>
      <w:pPr>
        <w:spacing w:line="360" w:lineRule="auto"/>
        <w:ind w:firstLine="8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（三）财政拨款支出决算具体情况。</w:t>
      </w:r>
    </w:p>
    <w:p>
      <w:pPr>
        <w:spacing w:line="360" w:lineRule="auto"/>
        <w:ind w:firstLine="852"/>
        <w:rPr>
          <w:rFonts w:hint="eastAsia" w:ascii="仿宋_GB2312" w:hAnsi="仿宋_GB2312" w:eastAsia="仿宋_GB2312" w:cs="仿宋_GB2312"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财政拨款支出与年初预算数相比较增加了203.62    万元，原因是基本支出经费增加143.8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万元。项目支出增加59.7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 xml:space="preserve"> </w:t>
      </w:r>
    </w:p>
    <w:p>
      <w:pPr>
        <w:spacing w:line="360" w:lineRule="auto"/>
        <w:ind w:firstLine="852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六、一般公共预财政拨款基本支出决算情况说明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2018年一般公共预算基本支出是1167.8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万元，其中工资福利支出260.35万元、商品和服务支出763.94万元、对个人和家庭补助支出136.23万元、资本支出7.3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万元。 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七、一般公共预算财政拨款“三公”经费支出决算情况说明</w:t>
      </w: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（一）“三公”经费财政拨款支出决算总体情况说明</w:t>
      </w:r>
    </w:p>
    <w:p>
      <w:pPr>
        <w:pStyle w:val="1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“三公”经费财政拨款支出预算为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>
      <w:pPr>
        <w:pStyle w:val="1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因公出国（境）费支出预算为0万元，支出决算为0万元，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1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%，决算数小于年初预算数的主要原因是厉行节约、严格控制费用，与上年相比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100%, 主要原因厉行节约、严格控制费用。</w:t>
      </w:r>
    </w:p>
    <w:p>
      <w:pPr>
        <w:pStyle w:val="10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公务用车购置费及运行维护费支出预算为128万元，支出决算为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86.53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%，决算数小于年初预算数的主要原因是建立健全财务制度、严格控制费用支出，节约公车运行费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与上年相比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36820</w:t>
      </w:r>
      <w:r>
        <w:rPr>
          <w:rFonts w:hint="eastAsia" w:ascii="仿宋_GB2312" w:hAnsi="仿宋_GB2312" w:eastAsia="仿宋_GB2312" w:cs="仿宋_GB2312"/>
          <w:sz w:val="32"/>
          <w:szCs w:val="32"/>
        </w:rPr>
        <w:t>%,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：公车改革，鹤城区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32辆公车的所有运行费用，均列入本单位支付。</w:t>
      </w:r>
    </w:p>
    <w:p>
      <w:pPr>
        <w:pStyle w:val="1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（二）“三公”经费财政拨款支出决算具体情况说明</w:t>
      </w:r>
    </w:p>
    <w:p>
      <w:pPr>
        <w:pStyle w:val="1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hAnsi="仿宋_GB2312" w:eastAsia="仿宋_GB2312" w:cs="仿宋_GB2312"/>
          <w:sz w:val="32"/>
          <w:szCs w:val="32"/>
        </w:rPr>
        <w:t>%,因公出国（境）费支出决算0万元，占0%,公务用车购置费及运行维护费支出决算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</w:t>
      </w:r>
    </w:p>
    <w:p>
      <w:pPr>
        <w:pStyle w:val="1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1、因公出国（境）费支出决算为0万元，全年安排因公出国（境）团组0个，累计0人次。</w:t>
      </w:r>
    </w:p>
    <w:p>
      <w:pPr>
        <w:pStyle w:val="1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2、公务接待费支出决算为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万元，全年共接待来访团组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个、来宾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人次。</w:t>
      </w:r>
    </w:p>
    <w:p>
      <w:pPr>
        <w:ind w:firstLine="800" w:firstLineChars="25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3、公务用车购置费及运行维护费支出决算为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万元，其中：公务用车购置费0万元，单位本级更新公务用车0辆</w:t>
      </w:r>
      <w:r>
        <w:rPr>
          <w:rFonts w:hint="eastAsia" w:ascii="仿宋_GB2312" w:hAnsi="仿宋_GB2312" w:eastAsia="仿宋_GB2312" w:cs="仿宋_GB2312"/>
          <w:i/>
          <w:color w:val="FF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万元，主要是公务用车维修费、年检费、过路费、洗车费、油费及聘用司机的劳务费支出，截止201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年12月31日，我单位开支财政拨款的公务用车保有量为32辆。</w:t>
      </w:r>
    </w:p>
    <w:p>
      <w:pPr>
        <w:pStyle w:val="10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八、政府性基金预算收入支出决算情况</w:t>
      </w:r>
    </w:p>
    <w:p>
      <w:pPr>
        <w:pStyle w:val="10"/>
        <w:rPr>
          <w:rFonts w:hint="eastAsia" w:ascii="仿宋_GB2312" w:hAnsi="仿宋_GB2312" w:eastAsia="仿宋_GB2312" w:cs="仿宋_GB2312"/>
          <w:i w:val="0"/>
          <w:i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年度政府性基金预算财政拨款收入0万元；年初结转和结余0万元；支出0万元，其中基本支出0万元，项目支出0万元；年末结转和结余0万元。</w:t>
      </w:r>
      <w:r>
        <w:rPr>
          <w:rFonts w:hint="eastAsia" w:ascii="仿宋_GB2312" w:hAnsi="仿宋_GB2312" w:eastAsia="仿宋_GB2312" w:cs="仿宋_GB2312"/>
          <w:i w:val="0"/>
          <w:iCs/>
          <w:color w:val="000000" w:themeColor="text1"/>
          <w:sz w:val="32"/>
          <w:szCs w:val="32"/>
        </w:rPr>
        <w:t>本单位无政府性基金收支</w:t>
      </w:r>
      <w:r>
        <w:rPr>
          <w:rFonts w:hint="eastAsia" w:ascii="仿宋_GB2312" w:hAnsi="仿宋_GB2312" w:eastAsia="仿宋_GB2312" w:cs="仿宋_GB2312"/>
          <w:i w:val="0"/>
          <w:iCs/>
          <w:color w:val="FF0000"/>
          <w:sz w:val="32"/>
          <w:szCs w:val="32"/>
        </w:rPr>
        <w:t xml:space="preserve"> </w:t>
      </w:r>
    </w:p>
    <w:p>
      <w:pPr>
        <w:pStyle w:val="1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九、关于2018年度预算绩效情况说明</w:t>
      </w:r>
    </w:p>
    <w:p>
      <w:pPr>
        <w:spacing w:line="360" w:lineRule="auto"/>
        <w:ind w:firstLine="71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严格按照上级要求，加强教育疏导，增强责任意识，加大纪检监察工作力度，严格责任追究，加强业务学习， 提升机关服务水平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，较好完成各项工作任务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710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十、其他重要事项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的情况说明</w:t>
      </w:r>
    </w:p>
    <w:p>
      <w:pPr>
        <w:spacing w:line="360" w:lineRule="auto"/>
        <w:ind w:firstLine="480" w:firstLineChars="1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（一）机关运行经费支出情况。本部门2018年度机关运行经费支出771.25 万元，比2017年减少了 27.64 万元，降低了3.46 %。主要原因是：履行节约，严格控制费用开支。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（二）政府采购支出情况。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本部门201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（三）国有资产占用情况。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截至201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年12月31日，本单位共有车辆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辆，其中，领导干部用车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辆、机要通信用车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辆，其他用车主要是……；单位价值50万元以上通用设备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台（套）；单位价值100万元以上专用设备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台（套）。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第四部分  名词解释，无。</w:t>
      </w:r>
    </w:p>
    <w:p>
      <w:pPr>
        <w:spacing w:line="600" w:lineRule="auto"/>
        <w:ind w:firstLine="62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auto"/>
        <w:ind w:firstLine="66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6716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60403"/>
    <w:multiLevelType w:val="singleLevel"/>
    <w:tmpl w:val="8CB60403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43C32"/>
    <w:rsid w:val="0000263E"/>
    <w:rsid w:val="0004102A"/>
    <w:rsid w:val="003208F8"/>
    <w:rsid w:val="00343C32"/>
    <w:rsid w:val="003C7D47"/>
    <w:rsid w:val="004B6600"/>
    <w:rsid w:val="005253E2"/>
    <w:rsid w:val="00582729"/>
    <w:rsid w:val="00631C00"/>
    <w:rsid w:val="006D51CF"/>
    <w:rsid w:val="007A1416"/>
    <w:rsid w:val="007A1EDA"/>
    <w:rsid w:val="007D33DB"/>
    <w:rsid w:val="00863BB7"/>
    <w:rsid w:val="008A48BD"/>
    <w:rsid w:val="008C4E32"/>
    <w:rsid w:val="00902BFB"/>
    <w:rsid w:val="00B15B48"/>
    <w:rsid w:val="00C61821"/>
    <w:rsid w:val="00CC156C"/>
    <w:rsid w:val="00CF4DB1"/>
    <w:rsid w:val="00D16CAE"/>
    <w:rsid w:val="00D170D9"/>
    <w:rsid w:val="00D67513"/>
    <w:rsid w:val="00E02BF0"/>
    <w:rsid w:val="00EF074C"/>
    <w:rsid w:val="00F35DD2"/>
    <w:rsid w:val="00F60BEF"/>
    <w:rsid w:val="148F00E6"/>
    <w:rsid w:val="1EE44BD8"/>
    <w:rsid w:val="37176967"/>
    <w:rsid w:val="471662BE"/>
    <w:rsid w:val="50697597"/>
    <w:rsid w:val="51C07373"/>
    <w:rsid w:val="672E0D8B"/>
    <w:rsid w:val="7B63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1861</Characters>
  <Lines>15</Lines>
  <Paragraphs>4</Paragraphs>
  <TotalTime>15</TotalTime>
  <ScaleCrop>false</ScaleCrop>
  <LinksUpToDate>false</LinksUpToDate>
  <CharactersWithSpaces>2183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2019-09-11T09:22:00Z</dcterms:created>
  <dc:creator>Administrator</dc:creator>
  <cp:lastModifiedBy>Administrator</cp:lastModifiedBy>
  <cp:lastPrinted>2021-06-02T08:16:00Z</cp:lastPrinted>
  <dcterms:modified xsi:type="dcterms:W3CDTF">2021-06-03T07:49:27Z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4F612B8784B045F7940D92D3374CB7B6</vt:lpwstr>
  </property>
</Properties>
</file>