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Times New Roman" w:hAnsi="Times New Roman" w:eastAsia="宋体" w:cs="Times New Roman"/>
          <w:b/>
          <w:bCs/>
          <w:kern w:val="0"/>
          <w:sz w:val="44"/>
          <w:szCs w:val="44"/>
        </w:rPr>
      </w:pPr>
    </w:p>
    <w:p>
      <w:pPr>
        <w:widowControl/>
        <w:jc w:val="center"/>
        <w:rPr>
          <w:rFonts w:ascii="Times New Roman" w:hAnsi="Times New Roman" w:eastAsia="宋体" w:cs="Times New Roman"/>
          <w:b/>
          <w:bCs/>
          <w:kern w:val="0"/>
          <w:sz w:val="44"/>
          <w:szCs w:val="44"/>
        </w:rPr>
      </w:pPr>
    </w:p>
    <w:p>
      <w:pPr>
        <w:widowControl/>
        <w:jc w:val="center"/>
        <w:rPr>
          <w:rFonts w:ascii="Times New Roman" w:hAnsi="Times New Roman" w:eastAsia="宋体" w:cs="Times New Roman"/>
          <w:b/>
          <w:bCs/>
          <w:kern w:val="0"/>
          <w:sz w:val="44"/>
          <w:szCs w:val="44"/>
        </w:rPr>
      </w:pPr>
    </w:p>
    <w:p>
      <w:pPr>
        <w:widowControl/>
        <w:jc w:val="center"/>
        <w:rPr>
          <w:rFonts w:ascii="Times New Roman" w:hAnsi="Times New Roman" w:eastAsia="宋体" w:cs="Times New Roman"/>
          <w:b/>
          <w:bCs/>
          <w:kern w:val="0"/>
          <w:sz w:val="44"/>
          <w:szCs w:val="44"/>
        </w:rPr>
      </w:pPr>
    </w:p>
    <w:p>
      <w:pPr>
        <w:widowControl/>
        <w:jc w:val="center"/>
        <w:rPr>
          <w:rFonts w:ascii="Times New Roman" w:hAnsi="Times New Roman" w:eastAsia="宋体" w:cs="Times New Roman"/>
          <w:b/>
          <w:bCs/>
          <w:kern w:val="0"/>
          <w:sz w:val="44"/>
          <w:szCs w:val="44"/>
        </w:rPr>
      </w:pPr>
    </w:p>
    <w:p>
      <w:pPr>
        <w:widowControl/>
        <w:jc w:val="center"/>
        <w:rPr>
          <w:rFonts w:ascii="Times New Roman" w:hAnsi="Times New Roman" w:eastAsia="方正小标宋_GBK" w:cs="Times New Roman"/>
          <w:bCs/>
          <w:kern w:val="0"/>
          <w:sz w:val="72"/>
          <w:szCs w:val="72"/>
        </w:rPr>
      </w:pPr>
      <w:r>
        <w:rPr>
          <w:rFonts w:hint="eastAsia" w:ascii="Times New Roman" w:hAnsi="Times New Roman" w:eastAsia="方正小标宋_GBK" w:cs="Times New Roman"/>
          <w:bCs/>
          <w:kern w:val="0"/>
          <w:sz w:val="72"/>
          <w:szCs w:val="72"/>
        </w:rPr>
        <w:t>鹤城区城市建设投资管理中心2018年度</w:t>
      </w:r>
    </w:p>
    <w:p>
      <w:pPr>
        <w:widowControl/>
        <w:jc w:val="center"/>
        <w:rPr>
          <w:rFonts w:ascii="Times New Roman" w:hAnsi="Times New Roman" w:eastAsia="方正小标宋_GBK" w:cs="Times New Roman"/>
          <w:bCs/>
          <w:kern w:val="0"/>
          <w:sz w:val="72"/>
          <w:szCs w:val="72"/>
        </w:rPr>
      </w:pPr>
      <w:r>
        <w:rPr>
          <w:rFonts w:hint="eastAsia" w:ascii="Times New Roman" w:hAnsi="Times New Roman" w:eastAsia="方正小标宋_GBK" w:cs="Times New Roman"/>
          <w:bCs/>
          <w:kern w:val="0"/>
          <w:sz w:val="72"/>
          <w:szCs w:val="72"/>
        </w:rPr>
        <w:t>部门决算</w:t>
      </w:r>
    </w:p>
    <w:p>
      <w:pPr>
        <w:widowControl/>
        <w:jc w:val="center"/>
        <w:rPr>
          <w:rFonts w:ascii="Times New Roman" w:hAnsi="Times New Roman" w:eastAsia="宋体" w:cs="Times New Roman"/>
          <w:b/>
          <w:bCs/>
          <w:kern w:val="0"/>
          <w:sz w:val="44"/>
          <w:szCs w:val="44"/>
        </w:rPr>
      </w:pPr>
    </w:p>
    <w:p>
      <w:pPr>
        <w:widowControl/>
        <w:jc w:val="center"/>
        <w:rPr>
          <w:rFonts w:ascii="Times New Roman" w:hAnsi="Times New Roman" w:eastAsia="宋体" w:cs="Times New Roman"/>
          <w:b/>
          <w:bCs/>
          <w:kern w:val="0"/>
          <w:sz w:val="44"/>
          <w:szCs w:val="44"/>
        </w:rPr>
      </w:pPr>
    </w:p>
    <w:p>
      <w:pPr>
        <w:widowControl/>
        <w:jc w:val="center"/>
        <w:rPr>
          <w:rFonts w:ascii="Times New Roman" w:hAnsi="Times New Roman" w:eastAsia="宋体" w:cs="Times New Roman"/>
          <w:b/>
          <w:bCs/>
          <w:kern w:val="0"/>
          <w:sz w:val="44"/>
          <w:szCs w:val="44"/>
        </w:rPr>
      </w:pPr>
    </w:p>
    <w:p>
      <w:pPr>
        <w:widowControl/>
        <w:jc w:val="center"/>
        <w:rPr>
          <w:rFonts w:ascii="Times New Roman" w:hAnsi="Times New Roman" w:eastAsia="宋体" w:cs="Times New Roman"/>
          <w:b/>
          <w:bCs/>
          <w:kern w:val="0"/>
          <w:sz w:val="44"/>
          <w:szCs w:val="44"/>
        </w:rPr>
      </w:pPr>
    </w:p>
    <w:p>
      <w:pPr>
        <w:widowControl/>
        <w:jc w:val="center"/>
        <w:rPr>
          <w:rFonts w:ascii="Times New Roman" w:hAnsi="Times New Roman" w:eastAsia="宋体" w:cs="Times New Roman"/>
          <w:b/>
          <w:bCs/>
          <w:kern w:val="0"/>
          <w:sz w:val="44"/>
          <w:szCs w:val="44"/>
        </w:rPr>
      </w:pPr>
    </w:p>
    <w:p>
      <w:pPr>
        <w:widowControl/>
        <w:jc w:val="center"/>
        <w:rPr>
          <w:rFonts w:ascii="Times New Roman" w:hAnsi="Times New Roman" w:eastAsia="宋体" w:cs="Times New Roman"/>
          <w:b/>
          <w:bCs/>
          <w:kern w:val="0"/>
          <w:sz w:val="44"/>
          <w:szCs w:val="44"/>
        </w:rPr>
      </w:pPr>
    </w:p>
    <w:p>
      <w:pPr>
        <w:widowControl/>
        <w:jc w:val="center"/>
        <w:rPr>
          <w:rFonts w:ascii="Times New Roman" w:hAnsi="Times New Roman" w:eastAsia="宋体" w:cs="Times New Roman"/>
          <w:b/>
          <w:bCs/>
          <w:kern w:val="0"/>
          <w:sz w:val="44"/>
          <w:szCs w:val="44"/>
        </w:rPr>
      </w:pPr>
    </w:p>
    <w:p>
      <w:pPr>
        <w:widowControl/>
        <w:jc w:val="center"/>
        <w:rPr>
          <w:rFonts w:ascii="Times New Roman" w:hAnsi="Times New Roman" w:eastAsia="宋体" w:cs="Times New Roman"/>
          <w:b/>
          <w:bCs/>
          <w:kern w:val="0"/>
          <w:sz w:val="44"/>
          <w:szCs w:val="44"/>
        </w:rPr>
      </w:pPr>
    </w:p>
    <w:p>
      <w:pPr>
        <w:widowControl/>
        <w:jc w:val="center"/>
        <w:rPr>
          <w:rFonts w:ascii="Times New Roman" w:hAnsi="Times New Roman" w:eastAsia="宋体" w:cs="Times New Roman"/>
          <w:b/>
          <w:bCs/>
          <w:kern w:val="0"/>
          <w:sz w:val="44"/>
          <w:szCs w:val="44"/>
        </w:rPr>
      </w:pPr>
    </w:p>
    <w:p>
      <w:pPr>
        <w:widowControl/>
        <w:jc w:val="center"/>
        <w:rPr>
          <w:rFonts w:ascii="Times New Roman" w:hAnsi="Times New Roman" w:eastAsia="宋体" w:cs="Times New Roman"/>
          <w:b/>
          <w:bCs/>
          <w:kern w:val="0"/>
          <w:sz w:val="44"/>
          <w:szCs w:val="44"/>
        </w:rPr>
      </w:pPr>
    </w:p>
    <w:p>
      <w:pPr>
        <w:widowControl/>
        <w:jc w:val="center"/>
        <w:rPr>
          <w:rFonts w:ascii="Times New Roman" w:hAnsi="Times New Roman" w:eastAsia="方正小标宋_GBK" w:cs="Times New Roman"/>
          <w:bCs/>
          <w:kern w:val="0"/>
          <w:sz w:val="44"/>
          <w:szCs w:val="44"/>
        </w:rPr>
      </w:pPr>
    </w:p>
    <w:p>
      <w:pPr>
        <w:widowControl/>
        <w:jc w:val="center"/>
        <w:rPr>
          <w:rFonts w:ascii="Times New Roman" w:hAnsi="Times New Roman" w:eastAsia="方正小标宋_GBK" w:cs="Times New Roman"/>
          <w:bCs/>
          <w:kern w:val="0"/>
          <w:sz w:val="44"/>
          <w:szCs w:val="44"/>
        </w:rPr>
      </w:pPr>
    </w:p>
    <w:p>
      <w:pPr>
        <w:widowControl/>
        <w:jc w:val="center"/>
        <w:rPr>
          <w:rFonts w:ascii="Times New Roman" w:hAnsi="Times New Roman" w:eastAsia="方正小标宋_GBK" w:cs="Times New Roman"/>
          <w:bCs/>
          <w:kern w:val="0"/>
          <w:sz w:val="44"/>
          <w:szCs w:val="44"/>
        </w:rPr>
      </w:pPr>
      <w:r>
        <w:rPr>
          <w:rFonts w:hint="eastAsia" w:ascii="Times New Roman" w:hAnsi="Times New Roman" w:eastAsia="方正小标宋_GBK" w:cs="Times New Roman"/>
          <w:bCs/>
          <w:kern w:val="0"/>
          <w:sz w:val="44"/>
          <w:szCs w:val="44"/>
        </w:rPr>
        <w:t>目录</w:t>
      </w:r>
    </w:p>
    <w:p>
      <w:pPr>
        <w:widowControl/>
        <w:rPr>
          <w:rFonts w:ascii="仿宋_GB2312" w:hAnsi="Times New Roman" w:eastAsia="仿宋_GB2312" w:cs="Times New Roman"/>
          <w:b/>
          <w:bCs/>
          <w:kern w:val="0"/>
          <w:sz w:val="32"/>
          <w:szCs w:val="32"/>
        </w:rPr>
      </w:pPr>
    </w:p>
    <w:p>
      <w:pPr>
        <w:widowControl/>
        <w:spacing w:line="600" w:lineRule="exact"/>
        <w:rPr>
          <w:rFonts w:ascii="Times New Roman" w:hAnsi="Times New Roman" w:eastAsia="黑体" w:cs="Times New Roman"/>
          <w:bCs/>
          <w:kern w:val="0"/>
          <w:sz w:val="32"/>
          <w:szCs w:val="32"/>
        </w:rPr>
      </w:pPr>
      <w:r>
        <w:rPr>
          <w:rFonts w:hint="eastAsia" w:ascii="Times New Roman" w:hAnsi="Times New Roman" w:eastAsia="黑体" w:cs="Times New Roman"/>
          <w:bCs/>
          <w:kern w:val="0"/>
          <w:sz w:val="32"/>
          <w:szCs w:val="32"/>
        </w:rPr>
        <w:t>第一部分  鹤城区城市建设投资管理中心概况</w:t>
      </w:r>
    </w:p>
    <w:p>
      <w:pPr>
        <w:widowControl/>
        <w:spacing w:line="600" w:lineRule="exact"/>
        <w:rPr>
          <w:rFonts w:ascii="Times New Roman" w:hAnsi="Times New Roman" w:eastAsia="仿宋_GB2312" w:cs="Times New Roman"/>
          <w:bCs/>
          <w:kern w:val="0"/>
          <w:sz w:val="32"/>
          <w:szCs w:val="32"/>
        </w:rPr>
      </w:pPr>
      <w:r>
        <w:rPr>
          <w:rFonts w:ascii="Times New Roman" w:hAnsi="Times New Roman" w:eastAsia="仿宋_GB2312" w:cs="Times New Roman"/>
          <w:bCs/>
          <w:kern w:val="0"/>
          <w:sz w:val="32"/>
          <w:szCs w:val="32"/>
        </w:rPr>
        <w:t>一、部门职责</w:t>
      </w:r>
    </w:p>
    <w:p>
      <w:pPr>
        <w:widowControl/>
        <w:spacing w:line="600" w:lineRule="exact"/>
        <w:rPr>
          <w:rFonts w:ascii="Times New Roman" w:hAnsi="Times New Roman" w:eastAsia="仿宋_GB2312" w:cs="Times New Roman"/>
          <w:bCs/>
          <w:kern w:val="0"/>
          <w:sz w:val="32"/>
          <w:szCs w:val="32"/>
        </w:rPr>
      </w:pPr>
      <w:r>
        <w:rPr>
          <w:rFonts w:ascii="Times New Roman" w:hAnsi="Times New Roman" w:eastAsia="仿宋_GB2312" w:cs="Times New Roman"/>
          <w:bCs/>
          <w:kern w:val="0"/>
          <w:sz w:val="32"/>
          <w:szCs w:val="32"/>
        </w:rPr>
        <w:t>二、机构设置</w:t>
      </w:r>
    </w:p>
    <w:p>
      <w:pPr>
        <w:widowControl/>
        <w:spacing w:line="600" w:lineRule="exact"/>
        <w:rPr>
          <w:rFonts w:ascii="Times New Roman" w:hAnsi="Times New Roman" w:eastAsia="黑体" w:cs="Times New Roman"/>
          <w:bCs/>
          <w:kern w:val="0"/>
          <w:sz w:val="32"/>
          <w:szCs w:val="32"/>
        </w:rPr>
      </w:pPr>
      <w:r>
        <w:rPr>
          <w:rFonts w:ascii="Times New Roman" w:hAnsi="Times New Roman" w:eastAsia="黑体" w:cs="Times New Roman"/>
          <w:bCs/>
          <w:kern w:val="0"/>
          <w:sz w:val="32"/>
          <w:szCs w:val="32"/>
        </w:rPr>
        <w:t xml:space="preserve">第二部分  </w:t>
      </w:r>
      <w:r>
        <w:rPr>
          <w:rFonts w:hint="eastAsia" w:ascii="Times New Roman" w:hAnsi="Times New Roman" w:eastAsia="黑体" w:cs="Times New Roman"/>
          <w:bCs/>
          <w:kern w:val="0"/>
          <w:sz w:val="32"/>
          <w:szCs w:val="32"/>
        </w:rPr>
        <w:t>鹤城区城市建设投资管理中心</w:t>
      </w:r>
      <w:r>
        <w:rPr>
          <w:rFonts w:ascii="Times New Roman" w:hAnsi="Times New Roman" w:eastAsia="黑体" w:cs="Times New Roman"/>
          <w:bCs/>
          <w:kern w:val="0"/>
          <w:sz w:val="32"/>
          <w:szCs w:val="32"/>
        </w:rPr>
        <w:t>201</w:t>
      </w:r>
      <w:r>
        <w:rPr>
          <w:rFonts w:hint="eastAsia" w:ascii="Times New Roman" w:hAnsi="Times New Roman" w:eastAsia="黑体" w:cs="Times New Roman"/>
          <w:bCs/>
          <w:kern w:val="0"/>
          <w:sz w:val="32"/>
          <w:szCs w:val="32"/>
        </w:rPr>
        <w:t>8</w:t>
      </w:r>
      <w:r>
        <w:rPr>
          <w:rFonts w:ascii="Times New Roman" w:hAnsi="Times New Roman" w:eastAsia="黑体" w:cs="Times New Roman"/>
          <w:bCs/>
          <w:kern w:val="0"/>
          <w:sz w:val="32"/>
          <w:szCs w:val="32"/>
        </w:rPr>
        <w:t>年度部门决算表</w:t>
      </w:r>
    </w:p>
    <w:p>
      <w:pPr>
        <w:widowControl/>
        <w:spacing w:line="600" w:lineRule="exact"/>
        <w:rPr>
          <w:rFonts w:ascii="Times New Roman" w:hAnsi="Times New Roman" w:eastAsia="仿宋_GB2312" w:cs="Times New Roman"/>
          <w:bCs/>
          <w:kern w:val="0"/>
          <w:sz w:val="32"/>
          <w:szCs w:val="32"/>
        </w:rPr>
      </w:pPr>
      <w:r>
        <w:rPr>
          <w:rFonts w:ascii="Times New Roman" w:hAnsi="Times New Roman" w:eastAsia="仿宋_GB2312" w:cs="Times New Roman"/>
          <w:bCs/>
          <w:kern w:val="0"/>
          <w:sz w:val="32"/>
          <w:szCs w:val="32"/>
        </w:rPr>
        <w:t>一、收入支出决算总表</w:t>
      </w:r>
    </w:p>
    <w:p>
      <w:pPr>
        <w:widowControl/>
        <w:spacing w:line="600" w:lineRule="exact"/>
        <w:rPr>
          <w:rFonts w:ascii="Times New Roman" w:hAnsi="Times New Roman" w:eastAsia="仿宋_GB2312" w:cs="Times New Roman"/>
          <w:bCs/>
          <w:kern w:val="0"/>
          <w:sz w:val="32"/>
          <w:szCs w:val="32"/>
        </w:rPr>
      </w:pPr>
      <w:r>
        <w:rPr>
          <w:rFonts w:ascii="Times New Roman" w:hAnsi="Times New Roman" w:eastAsia="仿宋_GB2312" w:cs="Times New Roman"/>
          <w:bCs/>
          <w:kern w:val="0"/>
          <w:sz w:val="32"/>
          <w:szCs w:val="32"/>
        </w:rPr>
        <w:t>二、收入决算表</w:t>
      </w:r>
    </w:p>
    <w:p>
      <w:pPr>
        <w:widowControl/>
        <w:spacing w:line="600" w:lineRule="exact"/>
        <w:rPr>
          <w:rFonts w:ascii="Times New Roman" w:hAnsi="Times New Roman" w:eastAsia="仿宋_GB2312" w:cs="Times New Roman"/>
          <w:bCs/>
          <w:kern w:val="0"/>
          <w:sz w:val="32"/>
          <w:szCs w:val="32"/>
        </w:rPr>
      </w:pPr>
      <w:r>
        <w:rPr>
          <w:rFonts w:ascii="Times New Roman" w:hAnsi="Times New Roman" w:eastAsia="仿宋_GB2312" w:cs="Times New Roman"/>
          <w:bCs/>
          <w:kern w:val="0"/>
          <w:sz w:val="32"/>
          <w:szCs w:val="32"/>
        </w:rPr>
        <w:t>三、支出决算表</w:t>
      </w:r>
    </w:p>
    <w:p>
      <w:pPr>
        <w:widowControl/>
        <w:spacing w:line="600" w:lineRule="exact"/>
        <w:rPr>
          <w:rFonts w:ascii="Times New Roman" w:hAnsi="Times New Roman" w:eastAsia="仿宋_GB2312" w:cs="Times New Roman"/>
          <w:bCs/>
          <w:kern w:val="0"/>
          <w:sz w:val="32"/>
          <w:szCs w:val="32"/>
        </w:rPr>
      </w:pPr>
      <w:r>
        <w:rPr>
          <w:rFonts w:ascii="Times New Roman" w:hAnsi="Times New Roman" w:eastAsia="仿宋_GB2312" w:cs="Times New Roman"/>
          <w:bCs/>
          <w:kern w:val="0"/>
          <w:sz w:val="32"/>
          <w:szCs w:val="32"/>
        </w:rPr>
        <w:t>四、财政拨款收入支出决算总表</w:t>
      </w:r>
    </w:p>
    <w:p>
      <w:pPr>
        <w:widowControl/>
        <w:spacing w:line="600" w:lineRule="exact"/>
        <w:rPr>
          <w:rFonts w:ascii="Times New Roman" w:hAnsi="Times New Roman" w:eastAsia="仿宋_GB2312" w:cs="Times New Roman"/>
          <w:bCs/>
          <w:kern w:val="0"/>
          <w:sz w:val="32"/>
          <w:szCs w:val="32"/>
        </w:rPr>
      </w:pPr>
      <w:r>
        <w:rPr>
          <w:rFonts w:ascii="Times New Roman" w:hAnsi="Times New Roman" w:eastAsia="仿宋_GB2312" w:cs="Times New Roman"/>
          <w:bCs/>
          <w:kern w:val="0"/>
          <w:sz w:val="32"/>
          <w:szCs w:val="32"/>
        </w:rPr>
        <w:t>五、一般公共预算财政拨款支出决算表</w:t>
      </w:r>
    </w:p>
    <w:p>
      <w:pPr>
        <w:widowControl/>
        <w:spacing w:line="600" w:lineRule="exact"/>
        <w:rPr>
          <w:rFonts w:ascii="Times New Roman" w:hAnsi="Times New Roman" w:eastAsia="仿宋_GB2312" w:cs="Times New Roman"/>
          <w:bCs/>
          <w:kern w:val="0"/>
          <w:sz w:val="32"/>
          <w:szCs w:val="32"/>
        </w:rPr>
      </w:pPr>
      <w:r>
        <w:rPr>
          <w:rFonts w:ascii="Times New Roman" w:hAnsi="Times New Roman" w:eastAsia="仿宋_GB2312" w:cs="Times New Roman"/>
          <w:bCs/>
          <w:kern w:val="0"/>
          <w:sz w:val="32"/>
          <w:szCs w:val="32"/>
        </w:rPr>
        <w:t>六、一般公共预算财政拨款基本支出决算表</w:t>
      </w:r>
    </w:p>
    <w:p>
      <w:pPr>
        <w:widowControl/>
        <w:spacing w:line="600" w:lineRule="exact"/>
        <w:rPr>
          <w:rFonts w:ascii="Times New Roman" w:hAnsi="Times New Roman" w:eastAsia="仿宋_GB2312" w:cs="Times New Roman"/>
          <w:bCs/>
          <w:kern w:val="0"/>
          <w:sz w:val="32"/>
          <w:szCs w:val="32"/>
        </w:rPr>
      </w:pPr>
      <w:r>
        <w:rPr>
          <w:rFonts w:ascii="Times New Roman" w:hAnsi="Times New Roman" w:eastAsia="仿宋_GB2312" w:cs="Times New Roman"/>
          <w:bCs/>
          <w:kern w:val="0"/>
          <w:sz w:val="32"/>
          <w:szCs w:val="32"/>
        </w:rPr>
        <w:t>七、一般公共预算财政拨款“三公”经费支出决算表</w:t>
      </w:r>
    </w:p>
    <w:p>
      <w:pPr>
        <w:widowControl/>
        <w:spacing w:line="600" w:lineRule="exact"/>
        <w:rPr>
          <w:rFonts w:ascii="Times New Roman" w:hAnsi="Times New Roman" w:eastAsia="仿宋_GB2312" w:cs="Times New Roman"/>
          <w:bCs/>
          <w:kern w:val="0"/>
          <w:sz w:val="32"/>
          <w:szCs w:val="32"/>
        </w:rPr>
      </w:pPr>
      <w:r>
        <w:rPr>
          <w:rFonts w:ascii="Times New Roman" w:hAnsi="Times New Roman" w:eastAsia="仿宋_GB2312" w:cs="Times New Roman"/>
          <w:bCs/>
          <w:kern w:val="0"/>
          <w:sz w:val="32"/>
          <w:szCs w:val="32"/>
        </w:rPr>
        <w:t>八、政府性基金预算财政拨款收入支出决算表</w:t>
      </w:r>
    </w:p>
    <w:p>
      <w:pPr>
        <w:widowControl/>
        <w:spacing w:line="600" w:lineRule="exact"/>
        <w:rPr>
          <w:rFonts w:ascii="Times New Roman" w:hAnsi="Times New Roman" w:eastAsia="黑体" w:cs="Times New Roman"/>
          <w:bCs/>
          <w:kern w:val="0"/>
          <w:sz w:val="32"/>
          <w:szCs w:val="32"/>
        </w:rPr>
      </w:pPr>
      <w:r>
        <w:rPr>
          <w:rFonts w:ascii="Times New Roman" w:hAnsi="Times New Roman" w:eastAsia="黑体" w:cs="Times New Roman"/>
          <w:bCs/>
          <w:kern w:val="0"/>
          <w:sz w:val="32"/>
          <w:szCs w:val="32"/>
        </w:rPr>
        <w:t xml:space="preserve">第三部分  </w:t>
      </w:r>
      <w:r>
        <w:rPr>
          <w:rFonts w:hint="eastAsia" w:ascii="Times New Roman" w:hAnsi="Times New Roman" w:eastAsia="黑体" w:cs="Times New Roman"/>
          <w:bCs/>
          <w:kern w:val="0"/>
          <w:sz w:val="32"/>
          <w:szCs w:val="32"/>
        </w:rPr>
        <w:t>鹤城区城市建设投资管理中心</w:t>
      </w:r>
      <w:r>
        <w:rPr>
          <w:rFonts w:ascii="Times New Roman" w:hAnsi="Times New Roman" w:eastAsia="黑体" w:cs="Times New Roman"/>
          <w:bCs/>
          <w:kern w:val="0"/>
          <w:sz w:val="32"/>
          <w:szCs w:val="32"/>
        </w:rPr>
        <w:t>201</w:t>
      </w:r>
      <w:r>
        <w:rPr>
          <w:rFonts w:hint="eastAsia" w:ascii="Times New Roman" w:hAnsi="Times New Roman" w:eastAsia="黑体" w:cs="Times New Roman"/>
          <w:bCs/>
          <w:kern w:val="0"/>
          <w:sz w:val="32"/>
          <w:szCs w:val="32"/>
        </w:rPr>
        <w:t>8</w:t>
      </w:r>
      <w:r>
        <w:rPr>
          <w:rFonts w:ascii="Times New Roman" w:hAnsi="Times New Roman" w:eastAsia="黑体" w:cs="Times New Roman"/>
          <w:bCs/>
          <w:kern w:val="0"/>
          <w:sz w:val="32"/>
          <w:szCs w:val="32"/>
        </w:rPr>
        <w:t>年度部门决算情况说明</w:t>
      </w:r>
    </w:p>
    <w:p>
      <w:pPr>
        <w:widowControl/>
        <w:spacing w:line="600" w:lineRule="exact"/>
        <w:rPr>
          <w:rFonts w:ascii="Times New Roman" w:hAnsi="Times New Roman" w:eastAsia="仿宋_GB2312" w:cs="Times New Roman"/>
          <w:bCs/>
          <w:kern w:val="0"/>
          <w:sz w:val="32"/>
          <w:szCs w:val="32"/>
        </w:rPr>
      </w:pPr>
      <w:r>
        <w:rPr>
          <w:rFonts w:ascii="Times New Roman" w:hAnsi="Times New Roman" w:eastAsia="仿宋_GB2312" w:cs="Times New Roman"/>
          <w:bCs/>
          <w:kern w:val="0"/>
          <w:sz w:val="32"/>
          <w:szCs w:val="32"/>
        </w:rPr>
        <w:t>一、收入支出决算总体情况说明</w:t>
      </w:r>
    </w:p>
    <w:p>
      <w:pPr>
        <w:widowControl/>
        <w:spacing w:line="600" w:lineRule="exact"/>
        <w:rPr>
          <w:rFonts w:ascii="Times New Roman" w:hAnsi="Times New Roman" w:eastAsia="仿宋_GB2312" w:cs="Times New Roman"/>
          <w:bCs/>
          <w:kern w:val="0"/>
          <w:sz w:val="32"/>
          <w:szCs w:val="32"/>
        </w:rPr>
      </w:pPr>
      <w:r>
        <w:rPr>
          <w:rFonts w:ascii="Times New Roman" w:hAnsi="Times New Roman" w:eastAsia="仿宋_GB2312" w:cs="Times New Roman"/>
          <w:bCs/>
          <w:kern w:val="0"/>
          <w:sz w:val="32"/>
          <w:szCs w:val="32"/>
        </w:rPr>
        <w:t>二、收入决算情况说明</w:t>
      </w:r>
    </w:p>
    <w:p>
      <w:pPr>
        <w:widowControl/>
        <w:spacing w:line="600" w:lineRule="exact"/>
        <w:rPr>
          <w:rFonts w:ascii="Times New Roman" w:hAnsi="Times New Roman" w:eastAsia="仿宋_GB2312" w:cs="Times New Roman"/>
          <w:bCs/>
          <w:kern w:val="0"/>
          <w:sz w:val="32"/>
          <w:szCs w:val="32"/>
        </w:rPr>
      </w:pPr>
      <w:r>
        <w:rPr>
          <w:rFonts w:ascii="Times New Roman" w:hAnsi="Times New Roman" w:eastAsia="仿宋_GB2312" w:cs="Times New Roman"/>
          <w:bCs/>
          <w:kern w:val="0"/>
          <w:sz w:val="32"/>
          <w:szCs w:val="32"/>
        </w:rPr>
        <w:t>三、支出决算情况说明</w:t>
      </w:r>
    </w:p>
    <w:p>
      <w:pPr>
        <w:widowControl/>
        <w:spacing w:line="600" w:lineRule="exact"/>
        <w:rPr>
          <w:rFonts w:ascii="Times New Roman" w:hAnsi="Times New Roman" w:eastAsia="仿宋_GB2312" w:cs="Times New Roman"/>
          <w:bCs/>
          <w:kern w:val="0"/>
          <w:sz w:val="32"/>
          <w:szCs w:val="32"/>
        </w:rPr>
      </w:pPr>
      <w:r>
        <w:rPr>
          <w:rFonts w:ascii="Times New Roman" w:hAnsi="Times New Roman" w:eastAsia="仿宋_GB2312" w:cs="Times New Roman"/>
          <w:bCs/>
          <w:kern w:val="0"/>
          <w:sz w:val="32"/>
          <w:szCs w:val="32"/>
        </w:rPr>
        <w:t>四、财政拨款收入支出决算总体情况说明</w:t>
      </w:r>
    </w:p>
    <w:p>
      <w:pPr>
        <w:widowControl/>
        <w:spacing w:line="600" w:lineRule="exact"/>
        <w:rPr>
          <w:rFonts w:ascii="Times New Roman" w:hAnsi="Times New Roman" w:eastAsia="仿宋_GB2312" w:cs="Times New Roman"/>
          <w:bCs/>
          <w:kern w:val="0"/>
          <w:sz w:val="32"/>
          <w:szCs w:val="32"/>
        </w:rPr>
      </w:pPr>
      <w:r>
        <w:rPr>
          <w:rFonts w:ascii="Times New Roman" w:hAnsi="Times New Roman" w:eastAsia="仿宋_GB2312" w:cs="Times New Roman"/>
          <w:bCs/>
          <w:kern w:val="0"/>
          <w:sz w:val="32"/>
          <w:szCs w:val="32"/>
        </w:rPr>
        <w:t>五、一般公共预算财政拨款支出决算情况说明</w:t>
      </w:r>
    </w:p>
    <w:p>
      <w:pPr>
        <w:widowControl/>
        <w:spacing w:line="600" w:lineRule="exact"/>
        <w:rPr>
          <w:rFonts w:ascii="Times New Roman" w:hAnsi="Times New Roman" w:eastAsia="仿宋_GB2312" w:cs="Times New Roman"/>
          <w:bCs/>
          <w:kern w:val="0"/>
          <w:sz w:val="32"/>
          <w:szCs w:val="32"/>
        </w:rPr>
      </w:pPr>
      <w:r>
        <w:rPr>
          <w:rFonts w:ascii="Times New Roman" w:hAnsi="Times New Roman" w:eastAsia="仿宋_GB2312" w:cs="Times New Roman"/>
          <w:bCs/>
          <w:kern w:val="0"/>
          <w:sz w:val="32"/>
          <w:szCs w:val="32"/>
        </w:rPr>
        <w:t>六、一般公共预算财政拨款基本支出决算情况说明</w:t>
      </w:r>
    </w:p>
    <w:p>
      <w:pPr>
        <w:widowControl/>
        <w:spacing w:line="600" w:lineRule="exact"/>
        <w:rPr>
          <w:rFonts w:ascii="Times New Roman" w:hAnsi="Times New Roman" w:eastAsia="仿宋_GB2312" w:cs="Times New Roman"/>
          <w:bCs/>
          <w:kern w:val="0"/>
          <w:sz w:val="32"/>
          <w:szCs w:val="32"/>
        </w:rPr>
      </w:pPr>
      <w:r>
        <w:rPr>
          <w:rFonts w:ascii="Times New Roman" w:hAnsi="Times New Roman" w:eastAsia="仿宋_GB2312" w:cs="Times New Roman"/>
          <w:bCs/>
          <w:kern w:val="0"/>
          <w:sz w:val="32"/>
          <w:szCs w:val="32"/>
        </w:rPr>
        <w:t>七、一般公共预算财政拨款“三公”经费支出情况决算情况说明</w:t>
      </w:r>
    </w:p>
    <w:p>
      <w:pPr>
        <w:widowControl/>
        <w:spacing w:line="600" w:lineRule="exact"/>
        <w:rPr>
          <w:rFonts w:ascii="Times New Roman" w:hAnsi="Times New Roman" w:eastAsia="仿宋_GB2312" w:cs="Times New Roman"/>
          <w:bCs/>
          <w:kern w:val="0"/>
          <w:sz w:val="32"/>
          <w:szCs w:val="32"/>
        </w:rPr>
      </w:pPr>
      <w:r>
        <w:rPr>
          <w:rFonts w:ascii="Times New Roman" w:hAnsi="Times New Roman" w:eastAsia="仿宋_GB2312" w:cs="Times New Roman"/>
          <w:bCs/>
          <w:kern w:val="0"/>
          <w:sz w:val="32"/>
          <w:szCs w:val="32"/>
        </w:rPr>
        <w:t>八、政府性基金预算收入支出决算情况</w:t>
      </w:r>
    </w:p>
    <w:p>
      <w:pPr>
        <w:widowControl/>
        <w:spacing w:line="600" w:lineRule="exact"/>
        <w:rPr>
          <w:rFonts w:ascii="Times New Roman" w:hAnsi="Times New Roman" w:eastAsia="仿宋_GB2312" w:cs="Times New Roman"/>
          <w:bCs/>
          <w:kern w:val="0"/>
          <w:sz w:val="32"/>
          <w:szCs w:val="32"/>
        </w:rPr>
      </w:pPr>
      <w:r>
        <w:rPr>
          <w:rFonts w:hint="eastAsia" w:ascii="Times New Roman" w:hAnsi="Times New Roman" w:eastAsia="仿宋_GB2312" w:cs="Times New Roman"/>
          <w:bCs/>
          <w:kern w:val="0"/>
          <w:sz w:val="32"/>
          <w:szCs w:val="32"/>
        </w:rPr>
        <w:t>九</w:t>
      </w:r>
      <w:r>
        <w:rPr>
          <w:rFonts w:ascii="Times New Roman" w:hAnsi="Times New Roman" w:eastAsia="仿宋_GB2312" w:cs="Times New Roman"/>
          <w:bCs/>
          <w:kern w:val="0"/>
          <w:sz w:val="32"/>
          <w:szCs w:val="32"/>
        </w:rPr>
        <w:t>、预算绩效情况说明</w:t>
      </w:r>
    </w:p>
    <w:p>
      <w:pPr>
        <w:widowControl/>
        <w:spacing w:line="600" w:lineRule="exact"/>
        <w:rPr>
          <w:rFonts w:ascii="Times New Roman" w:hAnsi="Times New Roman" w:eastAsia="仿宋_GB2312" w:cs="Times New Roman"/>
          <w:bCs/>
          <w:kern w:val="0"/>
          <w:sz w:val="32"/>
          <w:szCs w:val="32"/>
        </w:rPr>
      </w:pPr>
      <w:r>
        <w:rPr>
          <w:rFonts w:hint="eastAsia" w:ascii="Times New Roman" w:hAnsi="Times New Roman" w:eastAsia="仿宋_GB2312" w:cs="Times New Roman"/>
          <w:bCs/>
          <w:kern w:val="0"/>
          <w:sz w:val="32"/>
          <w:szCs w:val="32"/>
        </w:rPr>
        <w:t>十</w:t>
      </w:r>
      <w:r>
        <w:rPr>
          <w:rFonts w:ascii="Times New Roman" w:hAnsi="Times New Roman" w:eastAsia="仿宋_GB2312" w:cs="Times New Roman"/>
          <w:bCs/>
          <w:kern w:val="0"/>
          <w:sz w:val="32"/>
          <w:szCs w:val="32"/>
        </w:rPr>
        <w:t>、其他重要事项的情况说明</w:t>
      </w:r>
    </w:p>
    <w:p>
      <w:pPr>
        <w:widowControl/>
        <w:spacing w:line="600" w:lineRule="exact"/>
        <w:rPr>
          <w:rFonts w:ascii="Times New Roman" w:hAnsi="Times New Roman" w:eastAsia="黑体" w:cs="Times New Roman"/>
          <w:bCs/>
          <w:kern w:val="0"/>
          <w:sz w:val="32"/>
          <w:szCs w:val="32"/>
        </w:rPr>
      </w:pPr>
      <w:r>
        <w:rPr>
          <w:rFonts w:hint="eastAsia" w:ascii="Times New Roman" w:hAnsi="Times New Roman" w:eastAsia="黑体" w:cs="Times New Roman"/>
          <w:bCs/>
          <w:kern w:val="0"/>
          <w:sz w:val="32"/>
          <w:szCs w:val="32"/>
        </w:rPr>
        <w:t>第四部分  名称解释</w:t>
      </w:r>
    </w:p>
    <w:p>
      <w:pPr>
        <w:widowControl/>
        <w:spacing w:line="600" w:lineRule="exact"/>
        <w:rPr>
          <w:rFonts w:ascii="Times New Roman" w:hAnsi="Times New Roman" w:eastAsia="仿宋_GB2312" w:cs="Times New Roman"/>
          <w:b/>
          <w:bCs/>
          <w:kern w:val="0"/>
          <w:sz w:val="32"/>
          <w:szCs w:val="32"/>
        </w:rPr>
      </w:pPr>
    </w:p>
    <w:p>
      <w:pPr>
        <w:widowControl/>
        <w:spacing w:line="600" w:lineRule="exact"/>
        <w:rPr>
          <w:rFonts w:ascii="Times New Roman" w:hAnsi="Times New Roman" w:eastAsia="仿宋_GB2312" w:cs="Times New Roman"/>
          <w:b/>
          <w:bCs/>
          <w:kern w:val="0"/>
          <w:sz w:val="32"/>
          <w:szCs w:val="32"/>
        </w:rPr>
      </w:pPr>
    </w:p>
    <w:p>
      <w:pPr>
        <w:widowControl/>
        <w:spacing w:line="600" w:lineRule="exact"/>
        <w:rPr>
          <w:rFonts w:ascii="Times New Roman" w:hAnsi="Times New Roman" w:eastAsia="仿宋_GB2312" w:cs="Times New Roman"/>
          <w:b/>
          <w:bCs/>
          <w:kern w:val="0"/>
          <w:sz w:val="32"/>
          <w:szCs w:val="32"/>
        </w:rPr>
      </w:pPr>
    </w:p>
    <w:p>
      <w:pPr>
        <w:widowControl/>
        <w:spacing w:line="600" w:lineRule="exact"/>
        <w:rPr>
          <w:rFonts w:ascii="Times New Roman" w:hAnsi="Times New Roman" w:eastAsia="仿宋_GB2312" w:cs="Times New Roman"/>
          <w:b/>
          <w:bCs/>
          <w:kern w:val="0"/>
          <w:sz w:val="32"/>
          <w:szCs w:val="32"/>
        </w:rPr>
      </w:pPr>
    </w:p>
    <w:p>
      <w:pPr>
        <w:widowControl/>
        <w:spacing w:line="600" w:lineRule="exact"/>
        <w:rPr>
          <w:rFonts w:ascii="Times New Roman" w:hAnsi="Times New Roman" w:eastAsia="仿宋_GB2312" w:cs="Times New Roman"/>
          <w:b/>
          <w:bCs/>
          <w:kern w:val="0"/>
          <w:sz w:val="32"/>
          <w:szCs w:val="32"/>
        </w:rPr>
      </w:pPr>
    </w:p>
    <w:p>
      <w:pPr>
        <w:widowControl/>
        <w:spacing w:line="600" w:lineRule="exact"/>
        <w:rPr>
          <w:rFonts w:ascii="Times New Roman" w:hAnsi="Times New Roman" w:eastAsia="仿宋_GB2312" w:cs="Times New Roman"/>
          <w:b/>
          <w:bCs/>
          <w:kern w:val="0"/>
          <w:sz w:val="32"/>
          <w:szCs w:val="32"/>
        </w:rPr>
      </w:pPr>
    </w:p>
    <w:p>
      <w:pPr>
        <w:widowControl/>
        <w:spacing w:line="600" w:lineRule="exact"/>
        <w:rPr>
          <w:rFonts w:ascii="Times New Roman" w:hAnsi="Times New Roman" w:eastAsia="仿宋_GB2312" w:cs="Times New Roman"/>
          <w:b/>
          <w:bCs/>
          <w:kern w:val="0"/>
          <w:sz w:val="32"/>
          <w:szCs w:val="32"/>
        </w:rPr>
      </w:pPr>
    </w:p>
    <w:p>
      <w:pPr>
        <w:widowControl/>
        <w:spacing w:line="600" w:lineRule="exact"/>
        <w:rPr>
          <w:rFonts w:ascii="Times New Roman" w:hAnsi="Times New Roman" w:eastAsia="仿宋_GB2312" w:cs="Times New Roman"/>
          <w:b/>
          <w:bCs/>
          <w:kern w:val="0"/>
          <w:sz w:val="32"/>
          <w:szCs w:val="32"/>
        </w:rPr>
      </w:pPr>
    </w:p>
    <w:p>
      <w:pPr>
        <w:widowControl/>
        <w:spacing w:line="600" w:lineRule="exact"/>
        <w:rPr>
          <w:rFonts w:ascii="Times New Roman" w:hAnsi="Times New Roman" w:eastAsia="仿宋_GB2312" w:cs="Times New Roman"/>
          <w:b/>
          <w:bCs/>
          <w:kern w:val="0"/>
          <w:sz w:val="32"/>
          <w:szCs w:val="32"/>
        </w:rPr>
      </w:pPr>
    </w:p>
    <w:p>
      <w:pPr>
        <w:widowControl/>
        <w:spacing w:line="600" w:lineRule="exact"/>
        <w:rPr>
          <w:rFonts w:ascii="Times New Roman" w:hAnsi="Times New Roman" w:eastAsia="仿宋_GB2312" w:cs="Times New Roman"/>
          <w:b/>
          <w:bCs/>
          <w:kern w:val="0"/>
          <w:sz w:val="32"/>
          <w:szCs w:val="32"/>
        </w:rPr>
      </w:pPr>
    </w:p>
    <w:p>
      <w:pPr>
        <w:widowControl/>
        <w:spacing w:line="600" w:lineRule="exact"/>
        <w:rPr>
          <w:rFonts w:ascii="Times New Roman" w:hAnsi="Times New Roman" w:eastAsia="仿宋_GB2312" w:cs="Times New Roman"/>
          <w:b/>
          <w:bCs/>
          <w:kern w:val="0"/>
          <w:sz w:val="32"/>
          <w:szCs w:val="32"/>
        </w:rPr>
      </w:pPr>
    </w:p>
    <w:p>
      <w:pPr>
        <w:widowControl/>
        <w:spacing w:line="600" w:lineRule="exact"/>
        <w:rPr>
          <w:rFonts w:ascii="Times New Roman" w:hAnsi="Times New Roman" w:eastAsia="仿宋_GB2312" w:cs="Times New Roman"/>
          <w:b/>
          <w:bCs/>
          <w:kern w:val="0"/>
          <w:sz w:val="32"/>
          <w:szCs w:val="32"/>
        </w:rPr>
      </w:pPr>
    </w:p>
    <w:p>
      <w:pPr>
        <w:widowControl/>
        <w:spacing w:line="600" w:lineRule="exact"/>
        <w:rPr>
          <w:rFonts w:ascii="Times New Roman" w:hAnsi="Times New Roman" w:eastAsia="仿宋_GB2312" w:cs="Times New Roman"/>
          <w:b/>
          <w:bCs/>
          <w:kern w:val="0"/>
          <w:sz w:val="32"/>
          <w:szCs w:val="32"/>
        </w:rPr>
      </w:pPr>
    </w:p>
    <w:p>
      <w:pPr>
        <w:widowControl/>
        <w:spacing w:line="600" w:lineRule="exact"/>
        <w:rPr>
          <w:rFonts w:ascii="Times New Roman" w:hAnsi="Times New Roman" w:eastAsia="仿宋_GB2312" w:cs="Times New Roman"/>
          <w:b/>
          <w:bCs/>
          <w:kern w:val="0"/>
          <w:sz w:val="32"/>
          <w:szCs w:val="32"/>
        </w:rPr>
      </w:pPr>
    </w:p>
    <w:p>
      <w:pPr>
        <w:widowControl/>
        <w:spacing w:line="600" w:lineRule="exact"/>
        <w:rPr>
          <w:rFonts w:ascii="Times New Roman" w:hAnsi="Times New Roman" w:eastAsia="仿宋_GB2312" w:cs="Times New Roman"/>
          <w:b/>
          <w:bCs/>
          <w:kern w:val="0"/>
          <w:sz w:val="32"/>
          <w:szCs w:val="32"/>
        </w:rPr>
      </w:pPr>
    </w:p>
    <w:p>
      <w:pPr>
        <w:widowControl/>
        <w:spacing w:line="600" w:lineRule="exact"/>
        <w:rPr>
          <w:rFonts w:ascii="Times New Roman" w:hAnsi="Times New Roman" w:eastAsia="黑体" w:cs="Times New Roman"/>
          <w:bCs/>
          <w:kern w:val="0"/>
          <w:sz w:val="32"/>
          <w:szCs w:val="32"/>
        </w:rPr>
      </w:pPr>
      <w:r>
        <w:rPr>
          <w:rFonts w:ascii="Times New Roman" w:hAnsi="Times New Roman" w:eastAsia="黑体" w:cs="Times New Roman"/>
          <w:bCs/>
          <w:kern w:val="0"/>
          <w:sz w:val="32"/>
          <w:szCs w:val="32"/>
        </w:rPr>
        <w:t xml:space="preserve">第一部分  </w:t>
      </w:r>
      <w:r>
        <w:rPr>
          <w:rFonts w:hint="eastAsia" w:ascii="Times New Roman" w:hAnsi="Times New Roman" w:eastAsia="黑体" w:cs="Times New Roman"/>
          <w:bCs/>
          <w:kern w:val="0"/>
          <w:sz w:val="32"/>
          <w:szCs w:val="32"/>
        </w:rPr>
        <w:t>鹤城区城市建设投资管理中心</w:t>
      </w:r>
      <w:r>
        <w:rPr>
          <w:rFonts w:ascii="Times New Roman" w:hAnsi="Times New Roman" w:eastAsia="黑体" w:cs="Times New Roman"/>
          <w:bCs/>
          <w:kern w:val="0"/>
          <w:sz w:val="32"/>
          <w:szCs w:val="32"/>
        </w:rPr>
        <w:t>概况</w:t>
      </w:r>
    </w:p>
    <w:p>
      <w:pPr>
        <w:widowControl/>
        <w:spacing w:line="600" w:lineRule="exact"/>
        <w:rPr>
          <w:rFonts w:ascii="Times New Roman" w:hAnsi="Times New Roman" w:eastAsia="仿宋_GB2312" w:cs="Times New Roman"/>
          <w:bCs/>
          <w:kern w:val="0"/>
          <w:sz w:val="32"/>
          <w:szCs w:val="32"/>
        </w:rPr>
      </w:pPr>
      <w:r>
        <w:rPr>
          <w:rFonts w:ascii="Times New Roman" w:hAnsi="Times New Roman" w:eastAsia="仿宋_GB2312" w:cs="Times New Roman"/>
          <w:bCs/>
          <w:kern w:val="0"/>
          <w:sz w:val="32"/>
          <w:szCs w:val="32"/>
        </w:rPr>
        <w:t>一、部门职责</w:t>
      </w:r>
    </w:p>
    <w:p>
      <w:pPr>
        <w:widowControl/>
        <w:spacing w:line="60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承担着鹤城区基础设施和重大社会发展项目建设任务，开发经营政府配置给单位的土地资产。</w:t>
      </w:r>
    </w:p>
    <w:p>
      <w:pPr>
        <w:widowControl/>
        <w:spacing w:line="600" w:lineRule="exact"/>
        <w:rPr>
          <w:rFonts w:ascii="Times New Roman" w:hAnsi="Times New Roman" w:eastAsia="仿宋_GB2312" w:cs="Times New Roman"/>
          <w:bCs/>
          <w:kern w:val="0"/>
          <w:sz w:val="32"/>
          <w:szCs w:val="32"/>
        </w:rPr>
      </w:pPr>
      <w:r>
        <w:rPr>
          <w:rFonts w:ascii="Times New Roman" w:hAnsi="Times New Roman" w:eastAsia="仿宋_GB2312" w:cs="Times New Roman"/>
          <w:bCs/>
          <w:kern w:val="0"/>
          <w:sz w:val="32"/>
          <w:szCs w:val="32"/>
        </w:rPr>
        <w:t>二、机构设置</w:t>
      </w:r>
      <w:r>
        <w:rPr>
          <w:rFonts w:hint="eastAsia" w:ascii="Times New Roman" w:hAnsi="Times New Roman" w:eastAsia="仿宋_GB2312" w:cs="Times New Roman"/>
          <w:bCs/>
          <w:kern w:val="0"/>
          <w:sz w:val="32"/>
          <w:szCs w:val="32"/>
        </w:rPr>
        <w:t>及决算单位构成</w:t>
      </w:r>
    </w:p>
    <w:p>
      <w:pPr>
        <w:widowControl/>
        <w:spacing w:line="600" w:lineRule="exact"/>
        <w:rPr>
          <w:rFonts w:ascii="Times New Roman" w:hAnsi="Times New Roman" w:eastAsia="仿宋_GB2312" w:cs="Times New Roman"/>
          <w:bCs/>
          <w:kern w:val="0"/>
          <w:sz w:val="32"/>
          <w:szCs w:val="32"/>
        </w:rPr>
      </w:pPr>
      <w:r>
        <w:rPr>
          <w:rFonts w:hint="eastAsia" w:ascii="Times New Roman" w:hAnsi="Times New Roman" w:eastAsia="仿宋_GB2312" w:cs="Times New Roman"/>
          <w:bCs/>
          <w:kern w:val="0"/>
          <w:sz w:val="32"/>
          <w:szCs w:val="32"/>
        </w:rPr>
        <w:t>（一）内设机构设置。鹤城区城市建设投资管理中心内设机构包括：综合办公室、纪检监察室、人力资源部、财务部、融资部、资产经营部、工程技术部、工程造价部、工程管理部、征地拆迁部共10个职能股室。</w:t>
      </w:r>
    </w:p>
    <w:p>
      <w:pPr>
        <w:widowControl/>
        <w:spacing w:line="600" w:lineRule="exact"/>
        <w:rPr>
          <w:rFonts w:ascii="Times New Roman" w:hAnsi="Times New Roman" w:eastAsia="仿宋_GB2312" w:cs="Times New Roman"/>
          <w:bCs/>
          <w:kern w:val="0"/>
          <w:sz w:val="32"/>
          <w:szCs w:val="32"/>
        </w:rPr>
      </w:pPr>
      <w:r>
        <w:rPr>
          <w:rFonts w:hint="eastAsia" w:ascii="Times New Roman" w:hAnsi="Times New Roman" w:eastAsia="仿宋_GB2312" w:cs="Times New Roman"/>
          <w:bCs/>
          <w:kern w:val="0"/>
          <w:sz w:val="32"/>
          <w:szCs w:val="32"/>
        </w:rPr>
        <w:t>（二）决算单位构成。鹤城区城市建设投资管理中心2018年部门决算汇总公开单位构成包括：鹤城区城市建设投资管理中心本级。</w:t>
      </w:r>
    </w:p>
    <w:p>
      <w:pPr>
        <w:widowControl/>
        <w:spacing w:line="600" w:lineRule="exact"/>
        <w:rPr>
          <w:rFonts w:ascii="Times New Roman" w:hAnsi="Times New Roman" w:eastAsia="黑体" w:cs="Times New Roman"/>
          <w:bCs/>
          <w:kern w:val="0"/>
          <w:sz w:val="32"/>
          <w:szCs w:val="32"/>
        </w:rPr>
      </w:pPr>
      <w:r>
        <w:rPr>
          <w:rFonts w:ascii="Times New Roman" w:hAnsi="Times New Roman" w:eastAsia="黑体" w:cs="Times New Roman"/>
          <w:bCs/>
          <w:kern w:val="0"/>
          <w:sz w:val="32"/>
          <w:szCs w:val="32"/>
        </w:rPr>
        <w:t xml:space="preserve">第二部分  </w:t>
      </w:r>
      <w:r>
        <w:rPr>
          <w:rFonts w:hint="eastAsia" w:ascii="Times New Roman" w:hAnsi="Times New Roman" w:eastAsia="黑体" w:cs="Times New Roman"/>
          <w:bCs/>
          <w:kern w:val="0"/>
          <w:sz w:val="32"/>
          <w:szCs w:val="32"/>
        </w:rPr>
        <w:t>鹤城区城市建设投资管理中心</w:t>
      </w:r>
      <w:r>
        <w:rPr>
          <w:rFonts w:ascii="Times New Roman" w:hAnsi="Times New Roman" w:eastAsia="黑体" w:cs="Times New Roman"/>
          <w:bCs/>
          <w:kern w:val="0"/>
          <w:sz w:val="32"/>
          <w:szCs w:val="32"/>
        </w:rPr>
        <w:t>201</w:t>
      </w:r>
      <w:r>
        <w:rPr>
          <w:rFonts w:hint="eastAsia" w:ascii="Times New Roman" w:hAnsi="Times New Roman" w:eastAsia="黑体" w:cs="Times New Roman"/>
          <w:bCs/>
          <w:kern w:val="0"/>
          <w:sz w:val="32"/>
          <w:szCs w:val="32"/>
        </w:rPr>
        <w:t>8</w:t>
      </w:r>
      <w:r>
        <w:rPr>
          <w:rFonts w:ascii="Times New Roman" w:hAnsi="Times New Roman" w:eastAsia="黑体" w:cs="Times New Roman"/>
          <w:bCs/>
          <w:kern w:val="0"/>
          <w:sz w:val="32"/>
          <w:szCs w:val="32"/>
        </w:rPr>
        <w:t>年度部门决算表</w:t>
      </w:r>
    </w:p>
    <w:p>
      <w:pPr>
        <w:widowControl/>
        <w:spacing w:line="600" w:lineRule="exact"/>
        <w:ind w:firstLine="640" w:firstLineChars="200"/>
        <w:rPr>
          <w:rFonts w:ascii="Times New Roman" w:hAnsi="Times New Roman" w:eastAsia="仿宋_GB2312" w:cs="Times New Roman"/>
          <w:bCs/>
          <w:kern w:val="0"/>
          <w:sz w:val="32"/>
          <w:szCs w:val="32"/>
        </w:rPr>
      </w:pPr>
      <w:r>
        <w:rPr>
          <w:rFonts w:hint="eastAsia" w:ascii="Times New Roman" w:hAnsi="Times New Roman" w:eastAsia="仿宋_GB2312" w:cs="Times New Roman"/>
          <w:bCs/>
          <w:kern w:val="0"/>
          <w:sz w:val="32"/>
          <w:szCs w:val="32"/>
        </w:rPr>
        <w:t>表格后附。</w:t>
      </w:r>
    </w:p>
    <w:p>
      <w:pPr>
        <w:widowControl/>
        <w:spacing w:line="600" w:lineRule="exact"/>
        <w:rPr>
          <w:rFonts w:ascii="Times New Roman" w:hAnsi="Times New Roman" w:eastAsia="黑体" w:cs="Times New Roman"/>
          <w:bCs/>
          <w:kern w:val="0"/>
          <w:sz w:val="32"/>
          <w:szCs w:val="32"/>
        </w:rPr>
      </w:pPr>
      <w:r>
        <w:rPr>
          <w:rFonts w:ascii="Times New Roman" w:hAnsi="Times New Roman" w:eastAsia="黑体" w:cs="Times New Roman"/>
          <w:bCs/>
          <w:kern w:val="0"/>
          <w:sz w:val="32"/>
          <w:szCs w:val="32"/>
        </w:rPr>
        <w:t xml:space="preserve">第三部分  </w:t>
      </w:r>
      <w:r>
        <w:rPr>
          <w:rFonts w:hint="eastAsia" w:ascii="Times New Roman" w:hAnsi="Times New Roman" w:eastAsia="黑体" w:cs="Times New Roman"/>
          <w:bCs/>
          <w:kern w:val="0"/>
          <w:sz w:val="32"/>
          <w:szCs w:val="32"/>
        </w:rPr>
        <w:t>鹤城区城市建设投资管理中心</w:t>
      </w:r>
      <w:r>
        <w:rPr>
          <w:rFonts w:ascii="Times New Roman" w:hAnsi="Times New Roman" w:eastAsia="黑体" w:cs="Times New Roman"/>
          <w:bCs/>
          <w:kern w:val="0"/>
          <w:sz w:val="32"/>
          <w:szCs w:val="32"/>
        </w:rPr>
        <w:t>201</w:t>
      </w:r>
      <w:r>
        <w:rPr>
          <w:rFonts w:hint="eastAsia" w:ascii="Times New Roman" w:hAnsi="Times New Roman" w:eastAsia="黑体" w:cs="Times New Roman"/>
          <w:bCs/>
          <w:kern w:val="0"/>
          <w:sz w:val="32"/>
          <w:szCs w:val="32"/>
        </w:rPr>
        <w:t>8</w:t>
      </w:r>
      <w:r>
        <w:rPr>
          <w:rFonts w:ascii="Times New Roman" w:hAnsi="Times New Roman" w:eastAsia="黑体" w:cs="Times New Roman"/>
          <w:bCs/>
          <w:kern w:val="0"/>
          <w:sz w:val="32"/>
          <w:szCs w:val="32"/>
        </w:rPr>
        <w:t>年度部门决算情况说明</w:t>
      </w:r>
    </w:p>
    <w:p>
      <w:pPr>
        <w:widowControl/>
        <w:spacing w:line="600" w:lineRule="exact"/>
        <w:ind w:firstLine="480" w:firstLineChars="150"/>
        <w:rPr>
          <w:rFonts w:ascii="Times New Roman" w:hAnsi="Times New Roman" w:eastAsia="黑体" w:cs="Times New Roman"/>
          <w:bCs/>
          <w:kern w:val="0"/>
          <w:sz w:val="32"/>
          <w:szCs w:val="32"/>
        </w:rPr>
      </w:pPr>
      <w:r>
        <w:rPr>
          <w:rFonts w:ascii="Times New Roman" w:hAnsi="Times New Roman" w:eastAsia="仿宋_GB2312" w:cs="Times New Roman"/>
          <w:kern w:val="0"/>
          <w:sz w:val="32"/>
          <w:szCs w:val="32"/>
        </w:rPr>
        <w:t>一、收入支出决算总体情况说明</w:t>
      </w:r>
    </w:p>
    <w:p>
      <w:pPr>
        <w:widowControl/>
        <w:spacing w:line="60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2018年收入4306.66万元，与2017年对比，减少1849万元，减少30%，原因是政府性基金收入减少。2018年支出4306.66万元，与2017年对比，减少1849万元，减少30%，原因是政府性基金支出减少。</w:t>
      </w:r>
    </w:p>
    <w:p>
      <w:pPr>
        <w:widowControl/>
        <w:spacing w:line="600" w:lineRule="exact"/>
        <w:ind w:firstLine="640" w:firstLineChars="200"/>
        <w:rPr>
          <w:rFonts w:ascii="Times New Roman" w:hAnsi="Times New Roman" w:eastAsia="仿宋_GB2312" w:cs="Times New Roman"/>
          <w:b/>
          <w:bCs/>
          <w:kern w:val="0"/>
          <w:sz w:val="32"/>
          <w:szCs w:val="32"/>
        </w:rPr>
      </w:pPr>
      <w:r>
        <w:rPr>
          <w:rFonts w:ascii="Times New Roman" w:hAnsi="Times New Roman" w:eastAsia="仿宋_GB2312" w:cs="Times New Roman"/>
          <w:kern w:val="0"/>
          <w:sz w:val="32"/>
          <w:szCs w:val="32"/>
        </w:rPr>
        <w:t>二、收入决算情况</w:t>
      </w:r>
      <w:r>
        <w:rPr>
          <w:rFonts w:hint="eastAsia" w:ascii="Times New Roman" w:hAnsi="Times New Roman" w:eastAsia="仿宋_GB2312" w:cs="Times New Roman"/>
          <w:kern w:val="0"/>
          <w:sz w:val="32"/>
          <w:szCs w:val="32"/>
        </w:rPr>
        <w:t>说明</w:t>
      </w:r>
    </w:p>
    <w:p>
      <w:pPr>
        <w:widowControl/>
        <w:spacing w:line="60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2018年填报部门决算收入4306.66万元，其中财政拨款4306.66万元，上级补助收入0万元，事业收入0万元，其他收入0万元。财政拨款占收入的100%。</w:t>
      </w:r>
    </w:p>
    <w:p>
      <w:pPr>
        <w:widowControl/>
        <w:spacing w:line="600" w:lineRule="exact"/>
        <w:ind w:firstLine="640" w:firstLineChars="200"/>
        <w:rPr>
          <w:rFonts w:ascii="Times New Roman" w:hAnsi="Times New Roman" w:eastAsia="仿宋_GB2312" w:cs="Times New Roman"/>
          <w:b/>
          <w:bCs/>
          <w:kern w:val="0"/>
          <w:sz w:val="32"/>
          <w:szCs w:val="32"/>
        </w:rPr>
      </w:pPr>
      <w:r>
        <w:rPr>
          <w:rFonts w:ascii="Times New Roman" w:hAnsi="Times New Roman" w:eastAsia="仿宋_GB2312" w:cs="Times New Roman"/>
          <w:kern w:val="0"/>
          <w:sz w:val="32"/>
          <w:szCs w:val="32"/>
        </w:rPr>
        <w:t>三、支出决算情况说明</w:t>
      </w:r>
    </w:p>
    <w:p>
      <w:pPr>
        <w:widowControl/>
        <w:spacing w:line="600" w:lineRule="exact"/>
        <w:ind w:firstLine="640" w:firstLineChars="200"/>
        <w:rPr>
          <w:rFonts w:ascii="Times New Roman" w:hAnsi="Times New Roman" w:eastAsia="仿宋_GB2312" w:cs="Times New Roman"/>
          <w:b/>
          <w:bCs/>
          <w:kern w:val="0"/>
          <w:sz w:val="32"/>
          <w:szCs w:val="32"/>
        </w:rPr>
      </w:pPr>
      <w:r>
        <w:rPr>
          <w:rFonts w:hint="eastAsia" w:ascii="Times New Roman" w:hAnsi="Times New Roman" w:eastAsia="仿宋_GB2312" w:cs="Times New Roman"/>
          <w:kern w:val="0"/>
          <w:sz w:val="32"/>
          <w:szCs w:val="32"/>
        </w:rPr>
        <w:t>2018年填报部门决算支出4306.66万元，其中基本支出306.66万元，项目支出4000万元。基本支出占7.12%，项目支出占92.88%。</w:t>
      </w:r>
    </w:p>
    <w:p>
      <w:pPr>
        <w:widowControl/>
        <w:spacing w:line="600" w:lineRule="exact"/>
        <w:ind w:firstLine="640" w:firstLineChars="200"/>
        <w:rPr>
          <w:rFonts w:ascii="Times New Roman" w:hAnsi="Times New Roman" w:eastAsia="仿宋_GB2312" w:cs="Times New Roman"/>
          <w:b/>
          <w:bCs/>
          <w:kern w:val="0"/>
          <w:sz w:val="32"/>
          <w:szCs w:val="32"/>
        </w:rPr>
      </w:pPr>
      <w:r>
        <w:rPr>
          <w:rFonts w:ascii="Times New Roman" w:hAnsi="Times New Roman" w:eastAsia="仿宋_GB2312" w:cs="Times New Roman"/>
          <w:kern w:val="0"/>
          <w:sz w:val="32"/>
          <w:szCs w:val="32"/>
        </w:rPr>
        <w:t>四、财政拨款收入支出决算总体情况说明</w:t>
      </w:r>
    </w:p>
    <w:p>
      <w:pPr>
        <w:widowControl/>
        <w:spacing w:line="600" w:lineRule="exact"/>
        <w:ind w:firstLine="640" w:firstLineChars="200"/>
        <w:rPr>
          <w:rFonts w:ascii="Times New Roman" w:hAnsi="Times New Roman" w:eastAsia="仿宋_GB2312" w:cs="Times New Roman"/>
          <w:b/>
          <w:bCs/>
          <w:kern w:val="0"/>
          <w:sz w:val="32"/>
          <w:szCs w:val="32"/>
        </w:rPr>
      </w:pPr>
      <w:r>
        <w:rPr>
          <w:rFonts w:hint="eastAsia" w:ascii="Times New Roman" w:hAnsi="Times New Roman" w:eastAsia="仿宋_GB2312" w:cs="Times New Roman"/>
          <w:kern w:val="0"/>
          <w:sz w:val="32"/>
          <w:szCs w:val="32"/>
        </w:rPr>
        <w:t>2018年收入4306.66万元，与2017年对比，减少1849万元，减少30%，原因是政府性基金收入减少。2018年支出4306.66万元，与2017年对比，减少1849万元，减少30%，原因是政府性基金支出减少。</w:t>
      </w:r>
    </w:p>
    <w:p>
      <w:pPr>
        <w:widowControl/>
        <w:spacing w:line="600" w:lineRule="exact"/>
        <w:ind w:firstLine="640" w:firstLineChars="200"/>
        <w:rPr>
          <w:rFonts w:ascii="Times New Roman" w:hAnsi="Times New Roman" w:eastAsia="仿宋_GB2312" w:cs="Times New Roman"/>
          <w:b/>
          <w:bCs/>
          <w:kern w:val="0"/>
          <w:sz w:val="32"/>
          <w:szCs w:val="32"/>
        </w:rPr>
      </w:pPr>
      <w:r>
        <w:rPr>
          <w:rFonts w:ascii="Times New Roman" w:hAnsi="Times New Roman" w:eastAsia="仿宋_GB2312" w:cs="Times New Roman"/>
          <w:kern w:val="0"/>
          <w:sz w:val="32"/>
          <w:szCs w:val="32"/>
        </w:rPr>
        <w:t>五、一般公共预算财政拨款支出决算情况说明</w:t>
      </w:r>
    </w:p>
    <w:p>
      <w:pPr>
        <w:widowControl/>
        <w:spacing w:line="600" w:lineRule="exact"/>
        <w:ind w:firstLine="640" w:firstLineChars="200"/>
        <w:rPr>
          <w:rFonts w:ascii="Times New Roman" w:hAnsi="Times New Roman" w:eastAsia="仿宋_GB2312" w:cs="Times New Roman"/>
          <w:b/>
          <w:bCs/>
          <w:kern w:val="0"/>
          <w:sz w:val="32"/>
          <w:szCs w:val="32"/>
        </w:rPr>
      </w:pPr>
      <w:r>
        <w:rPr>
          <w:rFonts w:ascii="Times New Roman" w:hAnsi="Times New Roman" w:eastAsia="仿宋_GB2312" w:cs="Times New Roman"/>
          <w:kern w:val="0"/>
          <w:sz w:val="32"/>
          <w:szCs w:val="32"/>
        </w:rPr>
        <w:t>（一）财政拨款支出决算总体情况。</w:t>
      </w:r>
    </w:p>
    <w:p>
      <w:pPr>
        <w:widowControl/>
        <w:spacing w:line="60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2018年填报部门决算一般公共预算支出306.66万元，2017年填报部门决算一般公共预算支出343.66万元。同比减少10.77%，变动主要原因为人员调出，经费减少。</w:t>
      </w:r>
    </w:p>
    <w:p>
      <w:pPr>
        <w:widowControl/>
        <w:spacing w:line="600" w:lineRule="exact"/>
        <w:ind w:firstLine="640" w:firstLineChars="200"/>
        <w:rPr>
          <w:rFonts w:ascii="Times New Roman" w:hAnsi="Times New Roman" w:eastAsia="仿宋_GB2312" w:cs="Times New Roman"/>
          <w:b/>
          <w:bCs/>
          <w:kern w:val="0"/>
          <w:sz w:val="32"/>
          <w:szCs w:val="32"/>
        </w:rPr>
      </w:pPr>
      <w:r>
        <w:rPr>
          <w:rFonts w:ascii="Times New Roman" w:hAnsi="Times New Roman" w:eastAsia="仿宋_GB2312" w:cs="Times New Roman"/>
          <w:kern w:val="0"/>
          <w:sz w:val="32"/>
          <w:szCs w:val="32"/>
        </w:rPr>
        <w:t>（二）财政拨款支出决算结构情况。</w:t>
      </w:r>
    </w:p>
    <w:p>
      <w:pPr>
        <w:widowControl/>
        <w:spacing w:line="600" w:lineRule="exact"/>
        <w:ind w:firstLine="640" w:firstLineChars="200"/>
        <w:rPr>
          <w:rFonts w:ascii="Times New Roman" w:hAnsi="Times New Roman" w:eastAsia="仿宋_GB2312" w:cs="Times New Roman"/>
          <w:b/>
          <w:bCs/>
          <w:kern w:val="0"/>
          <w:sz w:val="32"/>
          <w:szCs w:val="32"/>
        </w:rPr>
      </w:pPr>
      <w:r>
        <w:rPr>
          <w:rFonts w:hint="eastAsia" w:ascii="Times New Roman" w:hAnsi="Times New Roman" w:eastAsia="仿宋_GB2312" w:cs="Times New Roman"/>
          <w:kern w:val="0"/>
          <w:sz w:val="32"/>
          <w:szCs w:val="32"/>
        </w:rPr>
        <w:t>201</w:t>
      </w:r>
      <w:r>
        <w:rPr>
          <w:rFonts w:hint="eastAsia" w:ascii="Times New Roman" w:hAnsi="Times New Roman" w:eastAsia="仿宋_GB2312" w:cs="Times New Roman"/>
          <w:kern w:val="0"/>
          <w:sz w:val="32"/>
          <w:szCs w:val="32"/>
          <w:lang w:val="en-US" w:eastAsia="zh-CN"/>
        </w:rPr>
        <w:t>8</w:t>
      </w:r>
      <w:r>
        <w:rPr>
          <w:rFonts w:hint="eastAsia" w:ascii="Times New Roman" w:hAnsi="Times New Roman" w:eastAsia="仿宋_GB2312" w:cs="Times New Roman"/>
          <w:kern w:val="0"/>
          <w:sz w:val="32"/>
          <w:szCs w:val="32"/>
        </w:rPr>
        <w:t>年填报部门决算一般公共预算支出306.66万元，占比100%。</w:t>
      </w:r>
      <w:bookmarkStart w:id="0" w:name="_GoBack"/>
      <w:bookmarkEnd w:id="0"/>
    </w:p>
    <w:p>
      <w:pPr>
        <w:widowControl/>
        <w:spacing w:line="600" w:lineRule="exact"/>
        <w:ind w:firstLine="640" w:firstLineChars="200"/>
        <w:rPr>
          <w:rFonts w:ascii="Times New Roman" w:hAnsi="Times New Roman" w:eastAsia="仿宋_GB2312" w:cs="Times New Roman"/>
          <w:b/>
          <w:bCs/>
          <w:kern w:val="0"/>
          <w:sz w:val="32"/>
          <w:szCs w:val="32"/>
        </w:rPr>
      </w:pPr>
      <w:r>
        <w:rPr>
          <w:rFonts w:ascii="Times New Roman" w:hAnsi="Times New Roman" w:eastAsia="仿宋_GB2312" w:cs="Times New Roman"/>
          <w:bCs/>
          <w:kern w:val="0"/>
          <w:sz w:val="32"/>
          <w:szCs w:val="32"/>
        </w:rPr>
        <w:t>（三）财政拨款支出决算具体情况。</w:t>
      </w:r>
    </w:p>
    <w:p>
      <w:pPr>
        <w:widowControl/>
        <w:spacing w:line="600" w:lineRule="exact"/>
        <w:ind w:firstLine="640" w:firstLineChars="200"/>
        <w:rPr>
          <w:rFonts w:ascii="Times New Roman" w:hAnsi="Times New Roman" w:eastAsia="仿宋_GB2312" w:cs="Times New Roman"/>
          <w:b/>
          <w:bCs/>
          <w:kern w:val="0"/>
          <w:sz w:val="32"/>
          <w:szCs w:val="32"/>
        </w:rPr>
      </w:pPr>
      <w:r>
        <w:rPr>
          <w:rFonts w:hint="eastAsia" w:ascii="Times New Roman" w:hAnsi="Times New Roman" w:eastAsia="仿宋_GB2312" w:cs="Times New Roman"/>
          <w:kern w:val="0"/>
          <w:sz w:val="32"/>
          <w:szCs w:val="32"/>
        </w:rPr>
        <w:t>财政拨款支出与年初预算数作对比，减少334.73万元，变动主要原因为政府性基金收入减少。人员经费较年初预算数增加5.27万元，增加1.89%；基本建设类项目项目支出减少340万元，减少7.83%。</w:t>
      </w:r>
    </w:p>
    <w:p>
      <w:pPr>
        <w:widowControl/>
        <w:spacing w:line="600" w:lineRule="exact"/>
        <w:ind w:firstLine="640" w:firstLineChars="200"/>
        <w:rPr>
          <w:rFonts w:ascii="Times New Roman" w:hAnsi="Times New Roman" w:eastAsia="仿宋_GB2312" w:cs="Times New Roman"/>
          <w:bCs/>
          <w:kern w:val="0"/>
          <w:sz w:val="32"/>
          <w:szCs w:val="32"/>
        </w:rPr>
      </w:pPr>
      <w:r>
        <w:rPr>
          <w:rFonts w:ascii="Times New Roman" w:hAnsi="Times New Roman" w:eastAsia="仿宋_GB2312" w:cs="Times New Roman"/>
          <w:bCs/>
          <w:kern w:val="0"/>
          <w:sz w:val="32"/>
          <w:szCs w:val="32"/>
        </w:rPr>
        <w:t>六、一般公共预算财政拨款基本支出决算情况说明</w:t>
      </w:r>
    </w:p>
    <w:p>
      <w:pPr>
        <w:widowControl/>
        <w:spacing w:line="60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基本支出由工资福利支出、商品和服务支出、对个人和家庭补助三大块构成。工资福利支出160.58万元，占总支出</w:t>
      </w:r>
    </w:p>
    <w:p>
      <w:pPr>
        <w:widowControl/>
        <w:spacing w:line="600" w:lineRule="exact"/>
        <w:rPr>
          <w:rFonts w:ascii="Times New Roman" w:hAnsi="Times New Roman" w:eastAsia="仿宋_GB2312" w:cs="Times New Roman"/>
          <w:bCs/>
          <w:kern w:val="0"/>
          <w:sz w:val="32"/>
          <w:szCs w:val="32"/>
        </w:rPr>
      </w:pPr>
      <w:r>
        <w:rPr>
          <w:rFonts w:hint="eastAsia" w:ascii="Times New Roman" w:hAnsi="Times New Roman" w:eastAsia="仿宋_GB2312" w:cs="Times New Roman"/>
          <w:kern w:val="0"/>
          <w:sz w:val="32"/>
          <w:szCs w:val="32"/>
        </w:rPr>
        <w:t>的52.36％、商品和服务支出23.23万元，占总支出的7.58％、对个人和家庭补助122.85万元，占总支出的40.06％。</w:t>
      </w:r>
    </w:p>
    <w:p>
      <w:pPr>
        <w:widowControl/>
        <w:spacing w:line="600" w:lineRule="exact"/>
        <w:ind w:firstLine="640" w:firstLineChars="200"/>
        <w:rPr>
          <w:rFonts w:ascii="Times New Roman" w:hAnsi="Times New Roman" w:eastAsia="仿宋_GB2312" w:cs="Times New Roman"/>
          <w:bCs/>
          <w:kern w:val="0"/>
          <w:sz w:val="32"/>
          <w:szCs w:val="32"/>
        </w:rPr>
      </w:pPr>
      <w:r>
        <w:rPr>
          <w:rFonts w:ascii="Times New Roman" w:hAnsi="Times New Roman" w:eastAsia="仿宋_GB2312" w:cs="Times New Roman"/>
          <w:bCs/>
          <w:kern w:val="0"/>
          <w:sz w:val="32"/>
          <w:szCs w:val="32"/>
        </w:rPr>
        <w:t>七、一般公共预算财政拨款“三公”经费支出决算情况说明</w:t>
      </w:r>
    </w:p>
    <w:p>
      <w:pPr>
        <w:widowControl/>
        <w:spacing w:line="600" w:lineRule="exact"/>
        <w:ind w:firstLine="640" w:firstLineChars="200"/>
        <w:rPr>
          <w:rFonts w:ascii="Times New Roman" w:hAnsi="Times New Roman" w:eastAsia="仿宋_GB2312" w:cs="Times New Roman"/>
          <w:bCs/>
          <w:kern w:val="0"/>
          <w:sz w:val="32"/>
          <w:szCs w:val="32"/>
        </w:rPr>
      </w:pPr>
      <w:r>
        <w:rPr>
          <w:rFonts w:ascii="Times New Roman" w:hAnsi="Times New Roman" w:eastAsia="仿宋_GB2312" w:cs="Times New Roman"/>
          <w:bCs/>
          <w:kern w:val="0"/>
          <w:sz w:val="32"/>
          <w:szCs w:val="32"/>
        </w:rPr>
        <w:t>（一）“三公”经费财政拨款支出决算总体情况说明。</w:t>
      </w:r>
    </w:p>
    <w:p>
      <w:pPr>
        <w:widowControl/>
        <w:spacing w:line="600" w:lineRule="exact"/>
        <w:ind w:firstLine="640" w:firstLineChars="200"/>
        <w:rPr>
          <w:rFonts w:ascii="Times New Roman" w:hAnsi="Times New Roman" w:eastAsia="仿宋_GB2312" w:cs="Times New Roman"/>
          <w:bCs/>
          <w:kern w:val="0"/>
          <w:sz w:val="32"/>
          <w:szCs w:val="32"/>
        </w:rPr>
      </w:pPr>
      <w:r>
        <w:rPr>
          <w:rFonts w:hint="eastAsia" w:ascii="Times New Roman" w:hAnsi="Times New Roman" w:eastAsia="仿宋_GB2312" w:cs="Times New Roman"/>
          <w:bCs/>
          <w:kern w:val="0"/>
          <w:sz w:val="32"/>
          <w:szCs w:val="32"/>
        </w:rPr>
        <w:t>“三公”经费总额为12.96万元。</w:t>
      </w:r>
      <w:r>
        <w:rPr>
          <w:rFonts w:hint="eastAsia" w:ascii="Times New Roman" w:hAnsi="Times New Roman" w:eastAsia="仿宋_GB2312" w:cs="Times New Roman"/>
          <w:kern w:val="0"/>
          <w:sz w:val="32"/>
          <w:szCs w:val="32"/>
        </w:rPr>
        <w:t>与上年决算数相比无变化。</w:t>
      </w:r>
    </w:p>
    <w:p>
      <w:pPr>
        <w:widowControl/>
        <w:spacing w:line="600" w:lineRule="exact"/>
        <w:ind w:firstLine="800" w:firstLineChars="250"/>
        <w:rPr>
          <w:rFonts w:ascii="Times New Roman" w:hAnsi="Times New Roman" w:eastAsia="仿宋_GB2312" w:cs="Times New Roman"/>
          <w:bCs/>
          <w:kern w:val="0"/>
          <w:sz w:val="32"/>
          <w:szCs w:val="32"/>
        </w:rPr>
      </w:pPr>
      <w:r>
        <w:rPr>
          <w:rFonts w:ascii="Times New Roman" w:hAnsi="Times New Roman" w:eastAsia="仿宋_GB2312" w:cs="Times New Roman"/>
          <w:bCs/>
          <w:kern w:val="0"/>
          <w:sz w:val="32"/>
          <w:szCs w:val="32"/>
        </w:rPr>
        <w:t>（二）“三公”经费财政拨款支出决算具体情况说明。</w:t>
      </w:r>
    </w:p>
    <w:p>
      <w:pPr>
        <w:pStyle w:val="10"/>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bCs/>
          <w:sz w:val="32"/>
          <w:szCs w:val="32"/>
        </w:rPr>
        <w:t>其中公务车返行维护费7万元，与上年度持平；国内公务接待费5.96万元，与年度持平；接待批次为55次，接待人次共410人。公务用车购置支出及购置数为0万元。</w:t>
      </w:r>
      <w:r>
        <w:rPr>
          <w:rFonts w:hint="eastAsia" w:ascii="仿宋" w:hAnsi="仿宋" w:eastAsia="仿宋"/>
          <w:sz w:val="32"/>
          <w:szCs w:val="32"/>
        </w:rPr>
        <w:t>公务用车购置</w:t>
      </w:r>
      <w:r>
        <w:rPr>
          <w:rFonts w:hint="eastAsia" w:ascii="Times New Roman" w:hAnsi="Times New Roman" w:eastAsia="仿宋_GB2312" w:cs="Times New Roman"/>
          <w:bCs/>
          <w:sz w:val="32"/>
          <w:szCs w:val="32"/>
        </w:rPr>
        <w:t>支出0元及购置数0辆、运行费支出7万元及保有量3辆。因公出国（境）费支出决算为0万元，全年安排因公出国（境）团组0个，累计0人次。</w:t>
      </w:r>
    </w:p>
    <w:p>
      <w:pPr>
        <w:widowControl/>
        <w:spacing w:line="600" w:lineRule="exact"/>
        <w:ind w:firstLine="640" w:firstLineChars="200"/>
        <w:rPr>
          <w:rFonts w:ascii="Times New Roman" w:hAnsi="Times New Roman" w:eastAsia="仿宋_GB2312" w:cs="Times New Roman"/>
          <w:bCs/>
          <w:kern w:val="0"/>
          <w:sz w:val="32"/>
          <w:szCs w:val="32"/>
        </w:rPr>
      </w:pPr>
      <w:r>
        <w:rPr>
          <w:rFonts w:ascii="Times New Roman" w:hAnsi="Times New Roman" w:eastAsia="仿宋_GB2312" w:cs="Times New Roman"/>
          <w:bCs/>
          <w:kern w:val="0"/>
          <w:sz w:val="32"/>
          <w:szCs w:val="32"/>
        </w:rPr>
        <w:t>八、政府性基金预算收入支出决算情况</w:t>
      </w:r>
    </w:p>
    <w:p>
      <w:pPr>
        <w:widowControl/>
        <w:spacing w:line="600" w:lineRule="exact"/>
        <w:ind w:firstLine="640" w:firstLineChars="200"/>
        <w:rPr>
          <w:rFonts w:ascii="Times New Roman" w:hAnsi="Times New Roman" w:eastAsia="仿宋_GB2312" w:cs="Times New Roman"/>
          <w:bCs/>
          <w:kern w:val="0"/>
          <w:sz w:val="32"/>
          <w:szCs w:val="32"/>
        </w:rPr>
      </w:pPr>
      <w:r>
        <w:rPr>
          <w:rFonts w:hint="eastAsia" w:ascii="Times New Roman" w:hAnsi="Times New Roman" w:eastAsia="仿宋_GB2312" w:cs="Times New Roman"/>
          <w:kern w:val="0"/>
          <w:sz w:val="32"/>
          <w:szCs w:val="32"/>
        </w:rPr>
        <w:t>2018年本单位无政府性基金收支。</w:t>
      </w:r>
    </w:p>
    <w:p>
      <w:pPr>
        <w:widowControl/>
        <w:spacing w:line="60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九、关于201</w:t>
      </w:r>
      <w:r>
        <w:rPr>
          <w:rFonts w:hint="eastAsia" w:ascii="Times New Roman" w:hAnsi="Times New Roman" w:eastAsia="仿宋_GB2312" w:cs="Times New Roman"/>
          <w:kern w:val="0"/>
          <w:sz w:val="32"/>
          <w:szCs w:val="32"/>
        </w:rPr>
        <w:t>8</w:t>
      </w:r>
      <w:r>
        <w:rPr>
          <w:rFonts w:ascii="Times New Roman" w:hAnsi="Times New Roman" w:eastAsia="仿宋_GB2312" w:cs="Times New Roman"/>
          <w:kern w:val="0"/>
          <w:sz w:val="32"/>
          <w:szCs w:val="32"/>
        </w:rPr>
        <w:t>年度预算绩效情况说明</w:t>
      </w:r>
    </w:p>
    <w:p>
      <w:pPr>
        <w:widowControl/>
        <w:spacing w:line="60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主要承担区城市基础设施和公益性项目的开发建设，完成区委区政府交办的各项任务，严格按照年初预算进行支出，助力鹤城区城市基础设施和公益性项目的发展建设。</w:t>
      </w:r>
    </w:p>
    <w:p>
      <w:pPr>
        <w:widowControl/>
        <w:spacing w:line="60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十、其他重要事项</w:t>
      </w:r>
    </w:p>
    <w:p>
      <w:pPr>
        <w:autoSpaceDE w:val="0"/>
        <w:autoSpaceDN w:val="0"/>
        <w:adjustRightInd w:val="0"/>
        <w:spacing w:line="60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（一）机关运行经费支出情况。本部门201</w:t>
      </w:r>
      <w:r>
        <w:rPr>
          <w:rFonts w:hint="eastAsia" w:ascii="Times New Roman" w:hAnsi="Times New Roman" w:eastAsia="仿宋_GB2312" w:cs="Times New Roman"/>
          <w:kern w:val="0"/>
          <w:sz w:val="32"/>
          <w:szCs w:val="32"/>
        </w:rPr>
        <w:t>8</w:t>
      </w:r>
      <w:r>
        <w:rPr>
          <w:rFonts w:ascii="Times New Roman" w:hAnsi="Times New Roman" w:eastAsia="仿宋_GB2312" w:cs="Times New Roman"/>
          <w:kern w:val="0"/>
          <w:sz w:val="32"/>
          <w:szCs w:val="32"/>
        </w:rPr>
        <w:t>年度机关运行经费支出</w:t>
      </w:r>
      <w:r>
        <w:rPr>
          <w:rFonts w:hint="eastAsia" w:ascii="Times New Roman" w:hAnsi="Times New Roman" w:eastAsia="仿宋_GB2312" w:cs="Times New Roman"/>
          <w:kern w:val="0"/>
          <w:sz w:val="32"/>
          <w:szCs w:val="32"/>
        </w:rPr>
        <w:t>23.23</w:t>
      </w:r>
      <w:r>
        <w:rPr>
          <w:rFonts w:ascii="Times New Roman" w:hAnsi="Times New Roman" w:eastAsia="仿宋_GB2312" w:cs="Times New Roman"/>
          <w:kern w:val="0"/>
          <w:sz w:val="32"/>
          <w:szCs w:val="32"/>
        </w:rPr>
        <w:t xml:space="preserve"> 万元，</w:t>
      </w:r>
      <w:r>
        <w:rPr>
          <w:rFonts w:hint="eastAsia" w:ascii="Times New Roman" w:hAnsi="Times New Roman" w:eastAsia="仿宋_GB2312" w:cs="Times New Roman"/>
          <w:kern w:val="0"/>
          <w:sz w:val="32"/>
          <w:szCs w:val="32"/>
        </w:rPr>
        <w:t>与年初预算数一致</w:t>
      </w:r>
      <w:r>
        <w:rPr>
          <w:rFonts w:ascii="Times New Roman" w:hAnsi="Times New Roman" w:eastAsia="仿宋_GB2312" w:cs="Times New Roman"/>
          <w:kern w:val="0"/>
          <w:sz w:val="32"/>
          <w:szCs w:val="32"/>
        </w:rPr>
        <w:t>。</w:t>
      </w:r>
    </w:p>
    <w:p>
      <w:pPr>
        <w:autoSpaceDE w:val="0"/>
        <w:autoSpaceDN w:val="0"/>
        <w:adjustRightInd w:val="0"/>
        <w:spacing w:line="60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（二）政府采购支出情况。</w:t>
      </w:r>
      <w:r>
        <w:rPr>
          <w:rFonts w:hint="eastAsia" w:cs="黑体" w:asciiTheme="minorEastAsia" w:hAnsiTheme="minorEastAsia"/>
          <w:color w:val="000000"/>
          <w:kern w:val="0"/>
          <w:sz w:val="32"/>
          <w:szCs w:val="32"/>
        </w:rPr>
        <w:t>本部门2018年度政府采购支出总额0万元，其中：政府采购货物支出0万元、政府采购工程支出0万元、政府采购服务支出0万元。授予中小企业合同金额0万元，占政府采购支出总额的0%，其中：授予小微企业合同金额0万元，占政府采购支出总额的0%。</w:t>
      </w:r>
      <w:r>
        <w:rPr>
          <w:rFonts w:cs="黑体" w:asciiTheme="minorEastAsia" w:hAnsiTheme="minorEastAsia"/>
          <w:color w:val="000000"/>
          <w:kern w:val="0"/>
          <w:sz w:val="32"/>
          <w:szCs w:val="32"/>
        </w:rPr>
        <w:br w:type="textWrapping"/>
      </w:r>
      <w:r>
        <w:rPr>
          <w:rFonts w:ascii="Times New Roman" w:hAnsi="Times New Roman" w:eastAsia="仿宋_GB2312" w:cs="Times New Roman"/>
          <w:kern w:val="0"/>
          <w:sz w:val="32"/>
          <w:szCs w:val="32"/>
        </w:rPr>
        <w:t>（三）国有资产占用情况。截至201</w:t>
      </w:r>
      <w:r>
        <w:rPr>
          <w:rFonts w:hint="eastAsia" w:ascii="Times New Roman" w:hAnsi="Times New Roman" w:eastAsia="仿宋_GB2312" w:cs="Times New Roman"/>
          <w:kern w:val="0"/>
          <w:sz w:val="32"/>
          <w:szCs w:val="32"/>
        </w:rPr>
        <w:t>8</w:t>
      </w:r>
      <w:r>
        <w:rPr>
          <w:rFonts w:ascii="Times New Roman" w:hAnsi="Times New Roman" w:eastAsia="仿宋_GB2312" w:cs="Times New Roman"/>
          <w:kern w:val="0"/>
          <w:sz w:val="32"/>
          <w:szCs w:val="32"/>
        </w:rPr>
        <w:t>年12 月31 日，本部门共有车辆</w:t>
      </w:r>
      <w:r>
        <w:rPr>
          <w:rFonts w:hint="eastAsia" w:ascii="Times New Roman" w:hAnsi="Times New Roman" w:eastAsia="仿宋_GB2312" w:cs="Times New Roman"/>
          <w:kern w:val="0"/>
          <w:sz w:val="32"/>
          <w:szCs w:val="32"/>
        </w:rPr>
        <w:t>3</w:t>
      </w:r>
      <w:r>
        <w:rPr>
          <w:rFonts w:ascii="Times New Roman" w:hAnsi="Times New Roman" w:eastAsia="仿宋_GB2312" w:cs="Times New Roman"/>
          <w:kern w:val="0"/>
          <w:sz w:val="32"/>
          <w:szCs w:val="32"/>
        </w:rPr>
        <w:t xml:space="preserve"> 辆，其中，部级领导干部用车</w:t>
      </w:r>
      <w:r>
        <w:rPr>
          <w:rFonts w:hint="eastAsia" w:ascii="Times New Roman" w:hAnsi="Times New Roman" w:eastAsia="仿宋_GB2312" w:cs="Times New Roman"/>
          <w:kern w:val="0"/>
          <w:sz w:val="32"/>
          <w:szCs w:val="32"/>
        </w:rPr>
        <w:t>0</w:t>
      </w:r>
      <w:r>
        <w:rPr>
          <w:rFonts w:ascii="Times New Roman" w:hAnsi="Times New Roman" w:eastAsia="仿宋_GB2312" w:cs="Times New Roman"/>
          <w:kern w:val="0"/>
          <w:sz w:val="32"/>
          <w:szCs w:val="32"/>
        </w:rPr>
        <w:t xml:space="preserve"> 辆、一般公务用车</w:t>
      </w:r>
      <w:r>
        <w:rPr>
          <w:rFonts w:hint="eastAsia" w:ascii="Times New Roman" w:hAnsi="Times New Roman" w:eastAsia="仿宋_GB2312" w:cs="Times New Roman"/>
          <w:kern w:val="0"/>
          <w:sz w:val="32"/>
          <w:szCs w:val="32"/>
        </w:rPr>
        <w:t>3</w:t>
      </w:r>
      <w:r>
        <w:rPr>
          <w:rFonts w:ascii="Times New Roman" w:hAnsi="Times New Roman" w:eastAsia="仿宋_GB2312" w:cs="Times New Roman"/>
          <w:kern w:val="0"/>
          <w:sz w:val="32"/>
          <w:szCs w:val="32"/>
        </w:rPr>
        <w:t xml:space="preserve"> 辆、一般执法执勤用车</w:t>
      </w:r>
      <w:r>
        <w:rPr>
          <w:rFonts w:hint="eastAsia" w:ascii="Times New Roman" w:hAnsi="Times New Roman" w:eastAsia="仿宋_GB2312" w:cs="Times New Roman"/>
          <w:kern w:val="0"/>
          <w:sz w:val="32"/>
          <w:szCs w:val="32"/>
        </w:rPr>
        <w:t>0</w:t>
      </w:r>
      <w:r>
        <w:rPr>
          <w:rFonts w:ascii="Times New Roman" w:hAnsi="Times New Roman" w:eastAsia="仿宋_GB2312" w:cs="Times New Roman"/>
          <w:kern w:val="0"/>
          <w:sz w:val="32"/>
          <w:szCs w:val="32"/>
        </w:rPr>
        <w:t>辆、特种专业技术用车</w:t>
      </w:r>
      <w:r>
        <w:rPr>
          <w:rFonts w:hint="eastAsia" w:ascii="Times New Roman" w:hAnsi="Times New Roman" w:eastAsia="仿宋_GB2312" w:cs="Times New Roman"/>
          <w:kern w:val="0"/>
          <w:sz w:val="32"/>
          <w:szCs w:val="32"/>
        </w:rPr>
        <w:t>0</w:t>
      </w:r>
      <w:r>
        <w:rPr>
          <w:rFonts w:ascii="Times New Roman" w:hAnsi="Times New Roman" w:eastAsia="仿宋_GB2312" w:cs="Times New Roman"/>
          <w:kern w:val="0"/>
          <w:sz w:val="32"/>
          <w:szCs w:val="32"/>
        </w:rPr>
        <w:t xml:space="preserve"> 辆、其他用车</w:t>
      </w:r>
      <w:r>
        <w:rPr>
          <w:rFonts w:hint="eastAsia" w:ascii="Times New Roman" w:hAnsi="Times New Roman" w:eastAsia="仿宋_GB2312" w:cs="Times New Roman"/>
          <w:kern w:val="0"/>
          <w:sz w:val="32"/>
          <w:szCs w:val="32"/>
        </w:rPr>
        <w:t>0</w:t>
      </w:r>
      <w:r>
        <w:rPr>
          <w:rFonts w:ascii="Times New Roman" w:hAnsi="Times New Roman" w:eastAsia="仿宋_GB2312" w:cs="Times New Roman"/>
          <w:kern w:val="0"/>
          <w:sz w:val="32"/>
          <w:szCs w:val="32"/>
        </w:rPr>
        <w:t xml:space="preserve"> 辆。</w:t>
      </w:r>
    </w:p>
    <w:p>
      <w:pPr>
        <w:widowControl/>
        <w:spacing w:line="600" w:lineRule="exact"/>
        <w:rPr>
          <w:rFonts w:ascii="仿宋_GB2312" w:hAnsi="Times New Roman" w:eastAsia="仿宋_GB2312" w:cs="Times New Roman"/>
          <w:sz w:val="32"/>
          <w:szCs w:val="32"/>
        </w:rPr>
      </w:pPr>
      <w:r>
        <w:rPr>
          <w:rFonts w:hint="eastAsia" w:ascii="Times New Roman" w:hAnsi="Times New Roman" w:eastAsia="黑体" w:cs="Times New Roman"/>
          <w:bCs/>
          <w:kern w:val="0"/>
          <w:sz w:val="32"/>
          <w:szCs w:val="32"/>
        </w:rPr>
        <w:t>第四部分  名词解释</w:t>
      </w:r>
    </w:p>
    <w:p>
      <w:pPr>
        <w:spacing w:line="600" w:lineRule="exact"/>
        <w:ind w:firstLine="640" w:firstLineChars="200"/>
        <w:rPr>
          <w:rFonts w:eastAsia="仿宋_GB2312"/>
          <w:kern w:val="0"/>
          <w:sz w:val="32"/>
          <w:szCs w:val="32"/>
        </w:rPr>
      </w:pPr>
      <w:r>
        <w:rPr>
          <w:rFonts w:eastAsia="仿宋_GB2312"/>
          <w:kern w:val="0"/>
          <w:sz w:val="32"/>
          <w:szCs w:val="32"/>
        </w:rPr>
        <w:t>1.</w:t>
      </w:r>
      <w:r>
        <w:rPr>
          <w:rFonts w:hint="eastAsia" w:eastAsia="仿宋_GB2312"/>
          <w:kern w:val="0"/>
          <w:sz w:val="32"/>
          <w:szCs w:val="32"/>
        </w:rPr>
        <w:t>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pPr>
        <w:spacing w:line="600" w:lineRule="exact"/>
        <w:ind w:firstLine="640" w:firstLineChars="200"/>
        <w:rPr>
          <w:rFonts w:eastAsia="仿宋_GB2312"/>
          <w:kern w:val="0"/>
          <w:sz w:val="32"/>
          <w:szCs w:val="32"/>
        </w:rPr>
      </w:pPr>
      <w:r>
        <w:rPr>
          <w:rFonts w:eastAsia="仿宋_GB2312"/>
          <w:kern w:val="0"/>
          <w:sz w:val="32"/>
          <w:szCs w:val="32"/>
        </w:rPr>
        <w:t>2.“</w:t>
      </w:r>
      <w:r>
        <w:rPr>
          <w:rFonts w:hint="eastAsia" w:eastAsia="仿宋_GB2312"/>
          <w:kern w:val="0"/>
          <w:sz w:val="32"/>
          <w:szCs w:val="32"/>
        </w:rPr>
        <w:t>三公</w:t>
      </w:r>
      <w:r>
        <w:rPr>
          <w:rFonts w:eastAsia="仿宋_GB2312"/>
          <w:kern w:val="0"/>
          <w:sz w:val="32"/>
          <w:szCs w:val="32"/>
        </w:rPr>
        <w:t>”</w:t>
      </w:r>
      <w:r>
        <w:rPr>
          <w:rFonts w:hint="eastAsia" w:eastAsia="仿宋_GB2312"/>
          <w:kern w:val="0"/>
          <w:sz w:val="32"/>
          <w:szCs w:val="32"/>
        </w:rPr>
        <w:t>经费：纳入财政预算管理的</w:t>
      </w:r>
      <w:r>
        <w:rPr>
          <w:rFonts w:eastAsia="仿宋_GB2312"/>
          <w:kern w:val="0"/>
          <w:sz w:val="32"/>
          <w:szCs w:val="32"/>
        </w:rPr>
        <w:t>“</w:t>
      </w:r>
      <w:r>
        <w:rPr>
          <w:rFonts w:hint="eastAsia" w:eastAsia="仿宋_GB2312"/>
          <w:kern w:val="0"/>
          <w:sz w:val="32"/>
          <w:szCs w:val="32"/>
        </w:rPr>
        <w:t>三公</w:t>
      </w:r>
      <w:r>
        <w:rPr>
          <w:rFonts w:eastAsia="仿宋_GB2312"/>
          <w:kern w:val="0"/>
          <w:sz w:val="32"/>
          <w:szCs w:val="32"/>
        </w:rPr>
        <w:t>“</w:t>
      </w:r>
      <w:r>
        <w:rPr>
          <w:rFonts w:hint="eastAsia" w:eastAsia="仿宋_GB2312"/>
          <w:kern w:val="0"/>
          <w:sz w:val="32"/>
          <w:szCs w:val="32"/>
        </w:rPr>
        <w:t>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pPr>
        <w:spacing w:line="600" w:lineRule="exact"/>
        <w:rPr>
          <w:rFonts w:ascii="Times New Roman" w:hAnsi="Times New Roman" w:eastAsia="黑体" w:cs="Times New Roman"/>
          <w:sz w:val="28"/>
          <w:szCs w:val="28"/>
        </w:rPr>
      </w:pPr>
    </w:p>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482"/>
      <w:jc w:val="center"/>
    </w:pPr>
    <w:r>
      <w:rPr>
        <w:rFonts w:hint="eastAsia"/>
        <w:b/>
        <w:sz w:val="24"/>
        <w:szCs w:val="24"/>
      </w:rPr>
      <w:t>－</w:t>
    </w:r>
    <w:r>
      <w:rPr>
        <w:rFonts w:ascii="Arial" w:hAnsi="Arial" w:cs="Arial"/>
        <w:b/>
        <w:sz w:val="21"/>
        <w:szCs w:val="21"/>
      </w:rPr>
      <w:fldChar w:fldCharType="begin"/>
    </w:r>
    <w:r>
      <w:rPr>
        <w:rFonts w:ascii="Arial" w:hAnsi="Arial" w:cs="Arial"/>
        <w:b/>
        <w:sz w:val="21"/>
        <w:szCs w:val="21"/>
      </w:rPr>
      <w:instrText xml:space="preserve">PAGE</w:instrText>
    </w:r>
    <w:r>
      <w:rPr>
        <w:rFonts w:ascii="Arial" w:hAnsi="Arial" w:cs="Arial"/>
        <w:b/>
        <w:sz w:val="21"/>
        <w:szCs w:val="21"/>
      </w:rPr>
      <w:fldChar w:fldCharType="separate"/>
    </w:r>
    <w:r>
      <w:rPr>
        <w:rFonts w:ascii="Arial" w:hAnsi="Arial" w:cs="Arial"/>
        <w:b/>
        <w:sz w:val="21"/>
        <w:szCs w:val="21"/>
      </w:rPr>
      <w:t>8</w:t>
    </w:r>
    <w:r>
      <w:rPr>
        <w:rFonts w:ascii="Arial" w:hAnsi="Arial" w:cs="Arial"/>
        <w:b/>
        <w:sz w:val="21"/>
        <w:szCs w:val="21"/>
      </w:rPr>
      <w:fldChar w:fldCharType="end"/>
    </w:r>
    <w:r>
      <w:rPr>
        <w:rFonts w:hint="eastAsia"/>
        <w:b/>
        <w:sz w:val="24"/>
        <w:szCs w:val="24"/>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84A8E"/>
    <w:rsid w:val="0000396C"/>
    <w:rsid w:val="00014F8D"/>
    <w:rsid w:val="0002580F"/>
    <w:rsid w:val="00045381"/>
    <w:rsid w:val="00046786"/>
    <w:rsid w:val="00053B5E"/>
    <w:rsid w:val="00063E5A"/>
    <w:rsid w:val="00067E96"/>
    <w:rsid w:val="00071237"/>
    <w:rsid w:val="000722E1"/>
    <w:rsid w:val="000B0A22"/>
    <w:rsid w:val="000D6264"/>
    <w:rsid w:val="000D67F9"/>
    <w:rsid w:val="000D734F"/>
    <w:rsid w:val="000E0EFD"/>
    <w:rsid w:val="0010547A"/>
    <w:rsid w:val="001126DE"/>
    <w:rsid w:val="00121BEB"/>
    <w:rsid w:val="00121CF7"/>
    <w:rsid w:val="001313C1"/>
    <w:rsid w:val="0013198D"/>
    <w:rsid w:val="001374CC"/>
    <w:rsid w:val="0014319B"/>
    <w:rsid w:val="0016239A"/>
    <w:rsid w:val="001738C6"/>
    <w:rsid w:val="00196737"/>
    <w:rsid w:val="001B2D55"/>
    <w:rsid w:val="001B405B"/>
    <w:rsid w:val="001C55ED"/>
    <w:rsid w:val="001C76D8"/>
    <w:rsid w:val="001C7DF1"/>
    <w:rsid w:val="001D0B9C"/>
    <w:rsid w:val="001D14AB"/>
    <w:rsid w:val="001F2ECD"/>
    <w:rsid w:val="001F6302"/>
    <w:rsid w:val="00221C69"/>
    <w:rsid w:val="0022273F"/>
    <w:rsid w:val="00223992"/>
    <w:rsid w:val="00280052"/>
    <w:rsid w:val="002831E7"/>
    <w:rsid w:val="00287575"/>
    <w:rsid w:val="002E5206"/>
    <w:rsid w:val="002E53F4"/>
    <w:rsid w:val="002F06C2"/>
    <w:rsid w:val="002F3363"/>
    <w:rsid w:val="002F7152"/>
    <w:rsid w:val="00302072"/>
    <w:rsid w:val="00312528"/>
    <w:rsid w:val="0032659A"/>
    <w:rsid w:val="00331212"/>
    <w:rsid w:val="003368E2"/>
    <w:rsid w:val="00342ACE"/>
    <w:rsid w:val="0034481E"/>
    <w:rsid w:val="00366933"/>
    <w:rsid w:val="003946BD"/>
    <w:rsid w:val="003B595F"/>
    <w:rsid w:val="003B62C4"/>
    <w:rsid w:val="003C0E07"/>
    <w:rsid w:val="003C55FC"/>
    <w:rsid w:val="003D12D8"/>
    <w:rsid w:val="003D6D54"/>
    <w:rsid w:val="003E6AD9"/>
    <w:rsid w:val="003F0B3B"/>
    <w:rsid w:val="00404E19"/>
    <w:rsid w:val="0042466C"/>
    <w:rsid w:val="00427E6F"/>
    <w:rsid w:val="004428B6"/>
    <w:rsid w:val="00443EB8"/>
    <w:rsid w:val="00445114"/>
    <w:rsid w:val="00446B1E"/>
    <w:rsid w:val="00456DB2"/>
    <w:rsid w:val="004663EB"/>
    <w:rsid w:val="00474309"/>
    <w:rsid w:val="004908FF"/>
    <w:rsid w:val="00490C44"/>
    <w:rsid w:val="00490D3D"/>
    <w:rsid w:val="004A03D3"/>
    <w:rsid w:val="004A5F66"/>
    <w:rsid w:val="004C0935"/>
    <w:rsid w:val="004C441C"/>
    <w:rsid w:val="004C668D"/>
    <w:rsid w:val="004D1460"/>
    <w:rsid w:val="004E3160"/>
    <w:rsid w:val="004E6C9F"/>
    <w:rsid w:val="004F2857"/>
    <w:rsid w:val="00512960"/>
    <w:rsid w:val="0051730E"/>
    <w:rsid w:val="00531E52"/>
    <w:rsid w:val="0054376C"/>
    <w:rsid w:val="00545AFE"/>
    <w:rsid w:val="00557DB6"/>
    <w:rsid w:val="00561D91"/>
    <w:rsid w:val="005625A1"/>
    <w:rsid w:val="00590662"/>
    <w:rsid w:val="005A23EB"/>
    <w:rsid w:val="005A750C"/>
    <w:rsid w:val="005B0C2A"/>
    <w:rsid w:val="005B7510"/>
    <w:rsid w:val="005C6820"/>
    <w:rsid w:val="005D2748"/>
    <w:rsid w:val="005D3D52"/>
    <w:rsid w:val="005E7021"/>
    <w:rsid w:val="005F2BCA"/>
    <w:rsid w:val="006266A6"/>
    <w:rsid w:val="006500DF"/>
    <w:rsid w:val="00655CE1"/>
    <w:rsid w:val="00655FC1"/>
    <w:rsid w:val="00674220"/>
    <w:rsid w:val="00675927"/>
    <w:rsid w:val="0068308B"/>
    <w:rsid w:val="006915FE"/>
    <w:rsid w:val="006C4007"/>
    <w:rsid w:val="006E4423"/>
    <w:rsid w:val="007009FC"/>
    <w:rsid w:val="007022E9"/>
    <w:rsid w:val="00713E89"/>
    <w:rsid w:val="0072314F"/>
    <w:rsid w:val="00742295"/>
    <w:rsid w:val="0075782C"/>
    <w:rsid w:val="00760D69"/>
    <w:rsid w:val="00762EFC"/>
    <w:rsid w:val="0077261D"/>
    <w:rsid w:val="00781171"/>
    <w:rsid w:val="007835E0"/>
    <w:rsid w:val="0078383A"/>
    <w:rsid w:val="00787EE9"/>
    <w:rsid w:val="0079157A"/>
    <w:rsid w:val="007942A0"/>
    <w:rsid w:val="007A2DC2"/>
    <w:rsid w:val="007B0008"/>
    <w:rsid w:val="007B443C"/>
    <w:rsid w:val="007B4E49"/>
    <w:rsid w:val="007D0245"/>
    <w:rsid w:val="007D620F"/>
    <w:rsid w:val="007D7671"/>
    <w:rsid w:val="007F6521"/>
    <w:rsid w:val="00823D36"/>
    <w:rsid w:val="00825C8A"/>
    <w:rsid w:val="00842795"/>
    <w:rsid w:val="00860953"/>
    <w:rsid w:val="00863D3A"/>
    <w:rsid w:val="00866C97"/>
    <w:rsid w:val="008727A8"/>
    <w:rsid w:val="0087620B"/>
    <w:rsid w:val="00877367"/>
    <w:rsid w:val="00885622"/>
    <w:rsid w:val="00885802"/>
    <w:rsid w:val="00890012"/>
    <w:rsid w:val="008921D4"/>
    <w:rsid w:val="00893F81"/>
    <w:rsid w:val="00895A40"/>
    <w:rsid w:val="008A35DA"/>
    <w:rsid w:val="008A47C8"/>
    <w:rsid w:val="008A4F79"/>
    <w:rsid w:val="008C0D0B"/>
    <w:rsid w:val="008F3807"/>
    <w:rsid w:val="008F7BE8"/>
    <w:rsid w:val="00902D71"/>
    <w:rsid w:val="009138F9"/>
    <w:rsid w:val="00926A56"/>
    <w:rsid w:val="00955403"/>
    <w:rsid w:val="00965253"/>
    <w:rsid w:val="009664AF"/>
    <w:rsid w:val="00980BD5"/>
    <w:rsid w:val="009829F6"/>
    <w:rsid w:val="009D4755"/>
    <w:rsid w:val="009E412D"/>
    <w:rsid w:val="009F0E87"/>
    <w:rsid w:val="009F280A"/>
    <w:rsid w:val="009F4F41"/>
    <w:rsid w:val="00A0516B"/>
    <w:rsid w:val="00A141F0"/>
    <w:rsid w:val="00A16602"/>
    <w:rsid w:val="00A175D1"/>
    <w:rsid w:val="00A245FF"/>
    <w:rsid w:val="00A26AFC"/>
    <w:rsid w:val="00A3341D"/>
    <w:rsid w:val="00A374E2"/>
    <w:rsid w:val="00A45175"/>
    <w:rsid w:val="00A611F5"/>
    <w:rsid w:val="00A731F2"/>
    <w:rsid w:val="00A8613A"/>
    <w:rsid w:val="00A871BD"/>
    <w:rsid w:val="00A9678D"/>
    <w:rsid w:val="00AB6999"/>
    <w:rsid w:val="00AC016C"/>
    <w:rsid w:val="00AC32DE"/>
    <w:rsid w:val="00AD185D"/>
    <w:rsid w:val="00AE1E13"/>
    <w:rsid w:val="00AE4383"/>
    <w:rsid w:val="00B0686B"/>
    <w:rsid w:val="00B06E86"/>
    <w:rsid w:val="00B135B5"/>
    <w:rsid w:val="00B355BF"/>
    <w:rsid w:val="00B50B06"/>
    <w:rsid w:val="00B65C92"/>
    <w:rsid w:val="00B8368D"/>
    <w:rsid w:val="00B83ABC"/>
    <w:rsid w:val="00BA02F4"/>
    <w:rsid w:val="00BA1FA2"/>
    <w:rsid w:val="00BB7F44"/>
    <w:rsid w:val="00BC22FC"/>
    <w:rsid w:val="00BC297B"/>
    <w:rsid w:val="00BC4C4B"/>
    <w:rsid w:val="00BD1569"/>
    <w:rsid w:val="00BF1F0B"/>
    <w:rsid w:val="00C01A05"/>
    <w:rsid w:val="00C049CB"/>
    <w:rsid w:val="00C101E7"/>
    <w:rsid w:val="00C1573F"/>
    <w:rsid w:val="00C16682"/>
    <w:rsid w:val="00C17609"/>
    <w:rsid w:val="00C359CB"/>
    <w:rsid w:val="00C82E51"/>
    <w:rsid w:val="00CA71E9"/>
    <w:rsid w:val="00CC196A"/>
    <w:rsid w:val="00CD61FA"/>
    <w:rsid w:val="00CE4DDF"/>
    <w:rsid w:val="00D13682"/>
    <w:rsid w:val="00D255AE"/>
    <w:rsid w:val="00D35238"/>
    <w:rsid w:val="00D42FE2"/>
    <w:rsid w:val="00D51828"/>
    <w:rsid w:val="00D56461"/>
    <w:rsid w:val="00D62947"/>
    <w:rsid w:val="00D73FB9"/>
    <w:rsid w:val="00D75082"/>
    <w:rsid w:val="00D813EB"/>
    <w:rsid w:val="00D84A8E"/>
    <w:rsid w:val="00D852B2"/>
    <w:rsid w:val="00D9054A"/>
    <w:rsid w:val="00D9071A"/>
    <w:rsid w:val="00D920E8"/>
    <w:rsid w:val="00DA7CF2"/>
    <w:rsid w:val="00DD1392"/>
    <w:rsid w:val="00DF4BBF"/>
    <w:rsid w:val="00E1743B"/>
    <w:rsid w:val="00E3306E"/>
    <w:rsid w:val="00E53BC4"/>
    <w:rsid w:val="00E60FB5"/>
    <w:rsid w:val="00E843F6"/>
    <w:rsid w:val="00E85CFF"/>
    <w:rsid w:val="00E91D5F"/>
    <w:rsid w:val="00E96CD5"/>
    <w:rsid w:val="00EA7A53"/>
    <w:rsid w:val="00EB4CDE"/>
    <w:rsid w:val="00EC22E6"/>
    <w:rsid w:val="00EF0B41"/>
    <w:rsid w:val="00F0012A"/>
    <w:rsid w:val="00F006CE"/>
    <w:rsid w:val="00F075F4"/>
    <w:rsid w:val="00F5057A"/>
    <w:rsid w:val="00F50F98"/>
    <w:rsid w:val="00F6480A"/>
    <w:rsid w:val="00F67AB7"/>
    <w:rsid w:val="00F83ECE"/>
    <w:rsid w:val="00F84841"/>
    <w:rsid w:val="00F91A31"/>
    <w:rsid w:val="00FB50AD"/>
    <w:rsid w:val="00FB5338"/>
    <w:rsid w:val="00FC11B7"/>
    <w:rsid w:val="00FC58E4"/>
    <w:rsid w:val="00FD2D41"/>
    <w:rsid w:val="00FD2F56"/>
    <w:rsid w:val="00FD4F8E"/>
    <w:rsid w:val="00FF4EAA"/>
    <w:rsid w:val="00FF517E"/>
    <w:rsid w:val="00FF5A03"/>
    <w:rsid w:val="02652D9F"/>
    <w:rsid w:val="02B85DAF"/>
    <w:rsid w:val="07471E97"/>
    <w:rsid w:val="11661AF5"/>
    <w:rsid w:val="11F253A5"/>
    <w:rsid w:val="12067C5D"/>
    <w:rsid w:val="170B76E0"/>
    <w:rsid w:val="1BFA6B85"/>
    <w:rsid w:val="1D077A9D"/>
    <w:rsid w:val="1F8D7C8A"/>
    <w:rsid w:val="21EF34C0"/>
    <w:rsid w:val="25F14CD3"/>
    <w:rsid w:val="260569B9"/>
    <w:rsid w:val="2F1724FD"/>
    <w:rsid w:val="30395A48"/>
    <w:rsid w:val="35350A7C"/>
    <w:rsid w:val="391C3D9A"/>
    <w:rsid w:val="3EDA4900"/>
    <w:rsid w:val="3FC359B3"/>
    <w:rsid w:val="439C3A13"/>
    <w:rsid w:val="458B79D6"/>
    <w:rsid w:val="480E3B7D"/>
    <w:rsid w:val="495952EB"/>
    <w:rsid w:val="49934BE7"/>
    <w:rsid w:val="49A42F18"/>
    <w:rsid w:val="4AD37080"/>
    <w:rsid w:val="4DB13AA7"/>
    <w:rsid w:val="54BE619D"/>
    <w:rsid w:val="58B72FB1"/>
    <w:rsid w:val="5ACA151D"/>
    <w:rsid w:val="5AE7261A"/>
    <w:rsid w:val="5B811D5B"/>
    <w:rsid w:val="5D610790"/>
    <w:rsid w:val="5E253E6D"/>
    <w:rsid w:val="64F20BF6"/>
    <w:rsid w:val="663764D1"/>
    <w:rsid w:val="67F71CD1"/>
    <w:rsid w:val="6C646D80"/>
    <w:rsid w:val="6D64080D"/>
    <w:rsid w:val="72732F9B"/>
    <w:rsid w:val="78D76764"/>
    <w:rsid w:val="7BE8040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character" w:customStyle="1" w:styleId="9">
    <w:name w:val="批注框文本 Char"/>
    <w:basedOn w:val="6"/>
    <w:link w:val="2"/>
    <w:semiHidden/>
    <w:qFormat/>
    <w:uiPriority w:val="99"/>
    <w:rPr>
      <w:sz w:val="18"/>
      <w:szCs w:val="18"/>
    </w:rPr>
  </w:style>
  <w:style w:type="paragraph" w:customStyle="1" w:styleId="10">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8</Pages>
  <Words>402</Words>
  <Characters>2292</Characters>
  <Lines>19</Lines>
  <Paragraphs>5</Paragraphs>
  <TotalTime>6</TotalTime>
  <ScaleCrop>false</ScaleCrop>
  <LinksUpToDate>false</LinksUpToDate>
  <CharactersWithSpaces>2689</CharactersWithSpaces>
  <Application>WPS Office_11.1.0.8869_F1E327BC-269C-435d-A152-05C5408002CA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2021-06-03T07:43:00Z</dcterms:created>
  <dc:creator>周亮辉 10.104.93.85</dc:creator>
  <cp:lastModifiedBy>0</cp:lastModifiedBy>
  <dcterms:modified xsi:type="dcterms:W3CDTF">2021-06-05T02:40:45Z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2052-11.1.0.8869</vt:lpwstr>
  </property>
  <property fmtid="{D5CDD505-2E9C-101B-9397-08002B2CF9AE}" pid="3" name="ICV">
    <vt:lpwstr>C976302171024A62A93A4387CBAF8FE6</vt:lpwstr>
  </property>
</Properties>
</file>