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cs="Times New Roman"/>
          <w:b/>
          <w:bCs/>
          <w:kern w:val="0"/>
          <w:sz w:val="44"/>
          <w:szCs w:val="44"/>
        </w:rPr>
      </w:pPr>
    </w:p>
    <w:p>
      <w:pPr>
        <w:widowControl/>
        <w:jc w:val="center"/>
        <w:rPr>
          <w:rFonts w:ascii="Times New Roman" w:hAnsi="Times New Roman" w:cs="Times New Roman"/>
          <w:b/>
          <w:bCs/>
          <w:kern w:val="0"/>
          <w:sz w:val="44"/>
          <w:szCs w:val="44"/>
        </w:rPr>
      </w:pPr>
    </w:p>
    <w:p>
      <w:pPr>
        <w:widowControl/>
        <w:jc w:val="center"/>
        <w:rPr>
          <w:rFonts w:ascii="Times New Roman" w:hAnsi="Times New Roman" w:cs="Times New Roman"/>
          <w:b/>
          <w:bCs/>
          <w:kern w:val="0"/>
          <w:sz w:val="44"/>
          <w:szCs w:val="44"/>
        </w:rPr>
      </w:pPr>
    </w:p>
    <w:p>
      <w:pPr>
        <w:widowControl/>
        <w:jc w:val="center"/>
        <w:rPr>
          <w:rFonts w:ascii="Times New Roman" w:hAnsi="Times New Roman" w:cs="Times New Roman"/>
          <w:b/>
          <w:bCs/>
          <w:kern w:val="0"/>
          <w:sz w:val="44"/>
          <w:szCs w:val="44"/>
        </w:rPr>
      </w:pPr>
    </w:p>
    <w:p>
      <w:pPr>
        <w:widowControl/>
        <w:jc w:val="center"/>
        <w:rPr>
          <w:rFonts w:ascii="Times New Roman" w:hAnsi="Times New Roman" w:cs="Times New Roman"/>
          <w:b/>
          <w:bCs/>
          <w:kern w:val="0"/>
          <w:sz w:val="44"/>
          <w:szCs w:val="44"/>
        </w:rPr>
      </w:pP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怀化市鹤城区阳戏保护</w:t>
      </w: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传承中心2018年度</w:t>
      </w: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部门决算</w:t>
      </w:r>
    </w:p>
    <w:p>
      <w:pPr>
        <w:widowControl/>
        <w:jc w:val="center"/>
        <w:rPr>
          <w:rFonts w:ascii="Times New Roman" w:hAnsi="Times New Roman" w:cs="Times New Roman"/>
          <w:b/>
          <w:bCs/>
          <w:kern w:val="0"/>
          <w:sz w:val="44"/>
          <w:szCs w:val="44"/>
        </w:rPr>
      </w:pPr>
    </w:p>
    <w:p>
      <w:pPr>
        <w:widowControl/>
        <w:jc w:val="center"/>
        <w:rPr>
          <w:rFonts w:ascii="Times New Roman" w:hAnsi="Times New Roman" w:cs="Times New Roman"/>
          <w:b/>
          <w:bCs/>
          <w:kern w:val="0"/>
          <w:sz w:val="44"/>
          <w:szCs w:val="44"/>
        </w:rPr>
      </w:pPr>
    </w:p>
    <w:p>
      <w:pPr>
        <w:widowControl/>
        <w:jc w:val="center"/>
        <w:rPr>
          <w:rFonts w:ascii="Times New Roman" w:hAnsi="Times New Roman" w:cs="Times New Roman"/>
          <w:b/>
          <w:bCs/>
          <w:kern w:val="0"/>
          <w:sz w:val="44"/>
          <w:szCs w:val="44"/>
        </w:rPr>
      </w:pPr>
    </w:p>
    <w:p>
      <w:pPr>
        <w:widowControl/>
        <w:jc w:val="center"/>
        <w:rPr>
          <w:rFonts w:ascii="Times New Roman" w:hAnsi="Times New Roman" w:cs="Times New Roman"/>
          <w:b/>
          <w:bCs/>
          <w:kern w:val="0"/>
          <w:sz w:val="44"/>
          <w:szCs w:val="44"/>
        </w:rPr>
      </w:pPr>
    </w:p>
    <w:p>
      <w:pPr>
        <w:widowControl/>
        <w:jc w:val="center"/>
        <w:rPr>
          <w:rFonts w:ascii="Times New Roman" w:hAnsi="Times New Roman" w:cs="Times New Roman"/>
          <w:b/>
          <w:bCs/>
          <w:kern w:val="0"/>
          <w:sz w:val="44"/>
          <w:szCs w:val="44"/>
        </w:rPr>
      </w:pPr>
    </w:p>
    <w:p>
      <w:pPr>
        <w:widowControl/>
        <w:jc w:val="center"/>
        <w:rPr>
          <w:rFonts w:ascii="Times New Roman" w:hAnsi="Times New Roman" w:cs="Times New Roman"/>
          <w:b/>
          <w:bCs/>
          <w:kern w:val="0"/>
          <w:sz w:val="44"/>
          <w:szCs w:val="44"/>
        </w:rPr>
      </w:pPr>
    </w:p>
    <w:p>
      <w:pPr>
        <w:widowControl/>
        <w:jc w:val="center"/>
        <w:rPr>
          <w:rFonts w:ascii="Times New Roman" w:hAnsi="Times New Roman" w:cs="Times New Roman"/>
          <w:b/>
          <w:bCs/>
          <w:kern w:val="0"/>
          <w:sz w:val="44"/>
          <w:szCs w:val="44"/>
        </w:rPr>
      </w:pPr>
    </w:p>
    <w:p>
      <w:pPr>
        <w:widowControl/>
        <w:jc w:val="center"/>
        <w:rPr>
          <w:rFonts w:ascii="Times New Roman" w:hAnsi="Times New Roman" w:cs="Times New Roman"/>
          <w:b/>
          <w:bCs/>
          <w:kern w:val="0"/>
          <w:sz w:val="44"/>
          <w:szCs w:val="44"/>
        </w:rPr>
      </w:pPr>
    </w:p>
    <w:p>
      <w:pPr>
        <w:widowControl/>
        <w:jc w:val="center"/>
        <w:rPr>
          <w:rFonts w:ascii="Times New Roman" w:hAnsi="Times New Roman" w:cs="Times New Roman"/>
          <w:b/>
          <w:bCs/>
          <w:kern w:val="0"/>
          <w:sz w:val="44"/>
          <w:szCs w:val="44"/>
        </w:rPr>
      </w:pPr>
    </w:p>
    <w:p>
      <w:pPr>
        <w:widowControl/>
        <w:jc w:val="center"/>
        <w:rPr>
          <w:rFonts w:ascii="Times New Roman" w:hAnsi="Times New Roman" w:cs="Times New Roman"/>
          <w:b/>
          <w:bCs/>
          <w:kern w:val="0"/>
          <w:sz w:val="44"/>
          <w:szCs w:val="44"/>
        </w:rPr>
      </w:pPr>
    </w:p>
    <w:p>
      <w:pPr>
        <w:widowControl/>
        <w:jc w:val="center"/>
        <w:rPr>
          <w:rFonts w:ascii="Times New Roman" w:hAnsi="Times New Roman" w:eastAsia="方正小标宋_GBK" w:cs="Times New Roman"/>
          <w:bCs/>
          <w:kern w:val="0"/>
          <w:sz w:val="44"/>
          <w:szCs w:val="44"/>
        </w:rPr>
      </w:pPr>
    </w:p>
    <w:p>
      <w:pPr>
        <w:widowControl/>
        <w:jc w:val="center"/>
        <w:rPr>
          <w:rFonts w:ascii="Times New Roman" w:hAnsi="Times New Roman" w:eastAsia="方正小标宋_GBK" w:cs="Times New Roman"/>
          <w:bCs/>
          <w:kern w:val="0"/>
          <w:sz w:val="44"/>
          <w:szCs w:val="44"/>
        </w:rPr>
      </w:pPr>
    </w:p>
    <w:p>
      <w:pPr>
        <w:widowControl/>
        <w:jc w:val="center"/>
        <w:rPr>
          <w:rFonts w:ascii="Times New Roman" w:hAnsi="Times New Roman" w:eastAsia="方正小标宋_GBK" w:cs="Times New Roman"/>
          <w:bCs/>
          <w:kern w:val="0"/>
          <w:sz w:val="44"/>
          <w:szCs w:val="44"/>
        </w:rPr>
      </w:pPr>
    </w:p>
    <w:p>
      <w:pPr>
        <w:widowControl/>
        <w:jc w:val="center"/>
        <w:rPr>
          <w:rFonts w:ascii="仿宋_GB2312" w:hAnsi="Times New Roman" w:eastAsia="仿宋_GB2312" w:cs="Times New Roman"/>
          <w:b/>
          <w:bCs/>
          <w:kern w:val="0"/>
          <w:sz w:val="32"/>
          <w:szCs w:val="32"/>
        </w:rPr>
      </w:pPr>
      <w:r>
        <w:rPr>
          <w:rFonts w:hint="eastAsia" w:ascii="Times New Roman" w:hAnsi="Times New Roman" w:eastAsia="方正小标宋_GBK" w:cs="Times New Roman"/>
          <w:bCs/>
          <w:kern w:val="0"/>
          <w:sz w:val="44"/>
          <w:szCs w:val="44"/>
        </w:rPr>
        <w:t>目录</w:t>
      </w: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第一部分  怀化市鹤城区阳戏保护传承中心概况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rPr>
        <w:t xml:space="preserve"> 怀化市鹤城区阳戏保护传承中心</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八、政府性基金预算财政拨款收入支出决算表</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第三部分  </w:t>
      </w:r>
      <w:r>
        <w:rPr>
          <w:rFonts w:hint="eastAsia" w:ascii="Times New Roman" w:hAnsi="Times New Roman" w:eastAsia="黑体" w:cs="Times New Roman"/>
          <w:bCs/>
          <w:kern w:val="0"/>
          <w:sz w:val="32"/>
          <w:szCs w:val="32"/>
        </w:rPr>
        <w:t>怀化市鹤城区阳戏保护传承中心</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七、一般公共预算财政拨款“三公”经费支出情况决算情况说明</w:t>
      </w:r>
    </w:p>
    <w:p>
      <w:pPr>
        <w:widowControl/>
        <w:spacing w:line="600" w:lineRule="exact"/>
        <w:rPr>
          <w:rFonts w:ascii="仿宋" w:hAnsi="仿宋" w:eastAsia="仿宋" w:cs="Times New Roman"/>
          <w:bCs/>
          <w:kern w:val="0"/>
          <w:sz w:val="32"/>
          <w:szCs w:val="32"/>
        </w:rPr>
      </w:pPr>
      <w:r>
        <w:rPr>
          <w:rFonts w:hint="eastAsia" w:ascii="仿宋" w:hAnsi="仿宋" w:eastAsia="仿宋" w:cs="Times New Roman"/>
          <w:bCs/>
          <w:kern w:val="0"/>
          <w:sz w:val="32"/>
          <w:szCs w:val="32"/>
        </w:rPr>
        <w:t>八、政府基金收支情况</w:t>
      </w:r>
    </w:p>
    <w:p>
      <w:pPr>
        <w:widowControl/>
        <w:spacing w:line="6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九</w:t>
      </w:r>
      <w:r>
        <w:rPr>
          <w:rFonts w:ascii="Times New Roman" w:hAnsi="Times New Roman" w:eastAsia="仿宋_GB2312" w:cs="Times New Roman"/>
          <w:bCs/>
          <w:kern w:val="0"/>
          <w:sz w:val="32"/>
          <w:szCs w:val="32"/>
        </w:rPr>
        <w:t>、预算绩效情况说明</w:t>
      </w:r>
    </w:p>
    <w:p>
      <w:pPr>
        <w:widowControl/>
        <w:spacing w:line="6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十</w:t>
      </w:r>
      <w:r>
        <w:rPr>
          <w:rFonts w:ascii="Times New Roman" w:hAnsi="Times New Roman" w:eastAsia="仿宋_GB2312" w:cs="Times New Roman"/>
          <w:bCs/>
          <w:kern w:val="0"/>
          <w:sz w:val="32"/>
          <w:szCs w:val="32"/>
        </w:rPr>
        <w:t>、其他重要事项的情况说明</w:t>
      </w: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第四部分  名称解释</w:t>
      </w: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第一部分  </w:t>
      </w:r>
      <w:r>
        <w:rPr>
          <w:rFonts w:hint="eastAsia" w:ascii="Times New Roman" w:hAnsi="Times New Roman" w:eastAsia="黑体" w:cs="Times New Roman"/>
          <w:bCs/>
          <w:kern w:val="0"/>
          <w:sz w:val="32"/>
          <w:szCs w:val="32"/>
        </w:rPr>
        <w:t>怀化市鹤城区阳戏保护传承中心</w:t>
      </w:r>
      <w:r>
        <w:rPr>
          <w:rFonts w:ascii="Times New Roman" w:hAnsi="Times New Roman" w:eastAsia="黑体" w:cs="Times New Roman"/>
          <w:bCs/>
          <w:kern w:val="0"/>
          <w:sz w:val="32"/>
          <w:szCs w:val="32"/>
        </w:rPr>
        <w:t>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宣传贯彻党和国家的方针政策，送戏进基层，进社区，进农村；配合政府各项工作的公益性演出。</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r>
        <w:rPr>
          <w:rFonts w:hint="eastAsia" w:ascii="Times New Roman" w:hAnsi="Times New Roman" w:eastAsia="仿宋_GB2312" w:cs="Times New Roman"/>
          <w:bCs/>
          <w:kern w:val="0"/>
          <w:sz w:val="32"/>
          <w:szCs w:val="32"/>
        </w:rPr>
        <w:t>及决算单位构成</w:t>
      </w:r>
    </w:p>
    <w:p>
      <w:pPr>
        <w:widowControl/>
        <w:numPr>
          <w:ilvl w:val="0"/>
          <w:numId w:val="1"/>
        </w:numPr>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内设机构设置</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怀化市鹤城区阳戏保护传承中心内设机构包括：怀化市鹤城区阳戏保护传承中心作为一级部门预算单位，内设8个股室，分别为：办公室、财务室、道具组、服装组、头饰组、鞋子组、音控室、装置组。</w:t>
      </w:r>
    </w:p>
    <w:p>
      <w:pPr>
        <w:widowControl/>
        <w:numPr>
          <w:ilvl w:val="0"/>
          <w:numId w:val="1"/>
        </w:numPr>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决算单位构成</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怀化市鹤城区阳戏保护传承中心2018年部门决算汇总公开单位构成包括：怀化市鹤城区阳戏保护传承中心单位本级。</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rPr>
        <w:t>怀化市鹤城区阳戏保护传承中心</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本次公开2018年度部门决算汇总表共8张，分别是《收入支出决算总表》、《收入决算表》、《支出决算表》、《财政拨款收入支出决算表》、《一般公共预算财政拨款收入支出决算表》、《一般公共预算财政拨款基本支出决算表》、《一般公共预算财政拨款“三公”经费支出决算表》和《政府性基金预算财政拨款收入支出决算表》公开表格及详细数据附后。(公开表格附后)</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第三部分</w:t>
      </w:r>
      <w:r>
        <w:rPr>
          <w:rFonts w:hint="eastAsia" w:ascii="Times New Roman" w:hAnsi="Times New Roman" w:eastAsia="黑体" w:cs="Times New Roman"/>
          <w:bCs/>
          <w:kern w:val="0"/>
          <w:sz w:val="32"/>
          <w:szCs w:val="32"/>
        </w:rPr>
        <w:t xml:space="preserve">  怀化市鹤城区阳戏保护传承中心</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ind w:firstLine="480" w:firstLineChars="150"/>
        <w:rPr>
          <w:rFonts w:ascii="Times New Roman" w:hAnsi="Times New Roman" w:eastAsia="黑体" w:cs="Times New Roman"/>
          <w:bCs/>
          <w:kern w:val="0"/>
          <w:sz w:val="32"/>
          <w:szCs w:val="32"/>
        </w:rPr>
      </w:pPr>
      <w:r>
        <w:rPr>
          <w:rFonts w:ascii="Times New Roman" w:hAnsi="Times New Roman" w:eastAsia="仿宋_GB2312" w:cs="Times New Roman"/>
          <w:kern w:val="0"/>
          <w:sz w:val="32"/>
          <w:szCs w:val="32"/>
        </w:rPr>
        <w:t>一、收入支出决算总体情况说明</w:t>
      </w:r>
    </w:p>
    <w:p>
      <w:pPr>
        <w:widowControl/>
        <w:spacing w:line="600" w:lineRule="exact"/>
        <w:ind w:firstLine="480" w:firstLineChars="150"/>
        <w:rPr>
          <w:rFonts w:ascii="仿宋" w:hAnsi="仿宋" w:eastAsia="仿宋"/>
          <w:sz w:val="32"/>
          <w:szCs w:val="32"/>
        </w:rPr>
      </w:pPr>
      <w:r>
        <w:rPr>
          <w:rFonts w:hint="eastAsia" w:ascii="仿宋" w:hAnsi="仿宋" w:eastAsia="仿宋"/>
          <w:sz w:val="32"/>
          <w:szCs w:val="32"/>
        </w:rPr>
        <w:t>2018年度本部门收、支总计</w:t>
      </w:r>
      <w:r>
        <w:rPr>
          <w:rFonts w:ascii="仿宋" w:hAnsi="仿宋" w:eastAsia="仿宋"/>
          <w:sz w:val="32"/>
          <w:szCs w:val="32"/>
        </w:rPr>
        <w:t>550.49</w:t>
      </w:r>
      <w:r>
        <w:rPr>
          <w:rFonts w:hint="eastAsia" w:ascii="仿宋" w:hAnsi="仿宋" w:eastAsia="仿宋"/>
          <w:sz w:val="32"/>
          <w:szCs w:val="32"/>
        </w:rPr>
        <w:t>万元，2017年度本部门收入</w:t>
      </w:r>
      <w:r>
        <w:rPr>
          <w:rFonts w:hint="eastAsia" w:ascii="仿宋_GB2312" w:hAnsi="仿宋_GB2312" w:eastAsia="仿宋_GB2312" w:cs="仿宋_GB2312"/>
          <w:sz w:val="32"/>
          <w:szCs w:val="32"/>
        </w:rPr>
        <w:t>296.57</w:t>
      </w:r>
      <w:r>
        <w:rPr>
          <w:rFonts w:hint="eastAsia" w:ascii="仿宋" w:hAnsi="仿宋" w:eastAsia="仿宋"/>
          <w:sz w:val="32"/>
          <w:szCs w:val="32"/>
        </w:rPr>
        <w:t>万元，本年度与上年度相比，增加了</w:t>
      </w:r>
      <w:r>
        <w:rPr>
          <w:rFonts w:ascii="仿宋" w:hAnsi="仿宋" w:eastAsia="仿宋"/>
          <w:sz w:val="32"/>
          <w:szCs w:val="32"/>
        </w:rPr>
        <w:t>253.90</w:t>
      </w:r>
      <w:r>
        <w:rPr>
          <w:rFonts w:hint="eastAsia" w:ascii="仿宋" w:hAnsi="仿宋" w:eastAsia="仿宋"/>
          <w:sz w:val="32"/>
          <w:szCs w:val="32"/>
        </w:rPr>
        <w:t>万元，增加了75.24%，主要原因是：人员工资调增，侗山红演出聘用人员演出开支，侗山红前期创作经费开支。</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二、收入决算情况说明</w:t>
      </w:r>
    </w:p>
    <w:p>
      <w:pPr>
        <w:widowControl/>
        <w:spacing w:line="600" w:lineRule="exact"/>
        <w:ind w:firstLine="640" w:firstLineChars="200"/>
        <w:rPr>
          <w:rFonts w:ascii="Times New Roman" w:hAnsi="Times New Roman" w:eastAsia="仿宋_GB2312" w:cs="Times New Roman"/>
          <w:kern w:val="0"/>
          <w:sz w:val="32"/>
          <w:szCs w:val="32"/>
        </w:rPr>
      </w:pPr>
      <w:r>
        <w:rPr>
          <w:rFonts w:hint="eastAsia" w:ascii="仿宋" w:hAnsi="仿宋" w:eastAsia="仿宋"/>
          <w:sz w:val="32"/>
          <w:szCs w:val="32"/>
        </w:rPr>
        <w:t>2018年度本部门收入</w:t>
      </w:r>
      <w:r>
        <w:rPr>
          <w:rFonts w:ascii="仿宋" w:hAnsi="仿宋" w:eastAsia="仿宋"/>
          <w:sz w:val="32"/>
          <w:szCs w:val="32"/>
        </w:rPr>
        <w:t>519.7</w:t>
      </w:r>
      <w:r>
        <w:rPr>
          <w:rFonts w:hint="eastAsia" w:ascii="仿宋" w:hAnsi="仿宋" w:eastAsia="仿宋"/>
          <w:sz w:val="32"/>
          <w:szCs w:val="32"/>
        </w:rPr>
        <w:t>0万元，其中：财政拨款收入</w:t>
      </w:r>
      <w:r>
        <w:rPr>
          <w:rFonts w:ascii="仿宋" w:hAnsi="仿宋" w:eastAsia="仿宋"/>
          <w:sz w:val="32"/>
          <w:szCs w:val="32"/>
        </w:rPr>
        <w:t>519.7</w:t>
      </w:r>
      <w:r>
        <w:rPr>
          <w:rFonts w:hint="eastAsia" w:ascii="仿宋" w:hAnsi="仿宋" w:eastAsia="仿宋"/>
          <w:sz w:val="32"/>
          <w:szCs w:val="32"/>
        </w:rPr>
        <w:t>0万元，占比100%；上级补助收入0万元，事业收入0万元，其他收入0万元。</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三、支出决算情况说明</w:t>
      </w:r>
    </w:p>
    <w:p>
      <w:pPr>
        <w:widowControl/>
        <w:spacing w:line="600" w:lineRule="exact"/>
        <w:ind w:firstLine="640" w:firstLineChars="200"/>
        <w:rPr>
          <w:rFonts w:ascii="仿宋" w:hAnsi="仿宋" w:eastAsia="仿宋"/>
          <w:sz w:val="32"/>
          <w:szCs w:val="32"/>
        </w:rPr>
      </w:pPr>
      <w:r>
        <w:rPr>
          <w:rFonts w:hint="eastAsia" w:ascii="仿宋" w:hAnsi="仿宋" w:eastAsia="仿宋"/>
          <w:sz w:val="32"/>
          <w:szCs w:val="32"/>
        </w:rPr>
        <w:t>2018年度本部门支出</w:t>
      </w:r>
      <w:r>
        <w:rPr>
          <w:rFonts w:ascii="仿宋" w:hAnsi="仿宋" w:eastAsia="仿宋"/>
          <w:sz w:val="32"/>
          <w:szCs w:val="32"/>
        </w:rPr>
        <w:t>517.95</w:t>
      </w:r>
      <w:r>
        <w:rPr>
          <w:rFonts w:hint="eastAsia" w:ascii="仿宋" w:hAnsi="仿宋" w:eastAsia="仿宋"/>
          <w:sz w:val="32"/>
          <w:szCs w:val="32"/>
        </w:rPr>
        <w:t>万元，其中：基本支出</w:t>
      </w:r>
      <w:r>
        <w:rPr>
          <w:rFonts w:ascii="仿宋" w:hAnsi="仿宋" w:eastAsia="仿宋"/>
          <w:sz w:val="32"/>
          <w:szCs w:val="32"/>
        </w:rPr>
        <w:t>517.95</w:t>
      </w:r>
      <w:r>
        <w:rPr>
          <w:rFonts w:hint="eastAsia" w:ascii="仿宋" w:hAnsi="仿宋" w:eastAsia="仿宋"/>
          <w:sz w:val="32"/>
          <w:szCs w:val="32"/>
        </w:rPr>
        <w:t>万元，占比100%。</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四、财政拨款收入支出决算总体情况说明</w:t>
      </w:r>
    </w:p>
    <w:p>
      <w:pPr>
        <w:widowControl/>
        <w:spacing w:line="600" w:lineRule="exact"/>
        <w:ind w:firstLine="640" w:firstLineChars="200"/>
        <w:rPr>
          <w:rFonts w:ascii="仿宋" w:hAnsi="仿宋" w:eastAsia="仿宋"/>
          <w:sz w:val="32"/>
          <w:szCs w:val="32"/>
        </w:rPr>
      </w:pPr>
      <w:r>
        <w:rPr>
          <w:rFonts w:hint="eastAsia" w:ascii="仿宋" w:hAnsi="仿宋" w:eastAsia="仿宋"/>
          <w:sz w:val="32"/>
          <w:szCs w:val="32"/>
        </w:rPr>
        <w:t>2018年度本部门</w:t>
      </w:r>
      <w:r>
        <w:rPr>
          <w:rFonts w:ascii="仿宋" w:hAnsi="仿宋" w:eastAsia="仿宋"/>
          <w:sz w:val="32"/>
          <w:szCs w:val="32"/>
        </w:rPr>
        <w:t>财政拨款</w:t>
      </w:r>
      <w:r>
        <w:rPr>
          <w:rFonts w:hint="eastAsia" w:ascii="仿宋" w:hAnsi="仿宋" w:eastAsia="仿宋"/>
          <w:sz w:val="32"/>
          <w:szCs w:val="32"/>
        </w:rPr>
        <w:t>收入</w:t>
      </w:r>
      <w:r>
        <w:rPr>
          <w:rFonts w:ascii="仿宋" w:hAnsi="仿宋" w:eastAsia="仿宋"/>
          <w:sz w:val="32"/>
          <w:szCs w:val="32"/>
        </w:rPr>
        <w:t>519.7</w:t>
      </w:r>
      <w:r>
        <w:rPr>
          <w:rFonts w:hint="eastAsia" w:ascii="仿宋" w:hAnsi="仿宋" w:eastAsia="仿宋"/>
          <w:sz w:val="32"/>
          <w:szCs w:val="32"/>
        </w:rPr>
        <w:t>0万元，与上年相比增加223.13万元，增加75.24%，主要原因是：人员工资调增，侗山红演出聘用人员演出开支，侗山红前期创作经费开支。</w:t>
      </w:r>
    </w:p>
    <w:p>
      <w:pPr>
        <w:widowControl/>
        <w:spacing w:line="600" w:lineRule="exact"/>
        <w:ind w:firstLine="640" w:firstLineChars="200"/>
        <w:rPr>
          <w:rFonts w:ascii="仿宋" w:hAnsi="仿宋" w:eastAsia="仿宋"/>
          <w:sz w:val="32"/>
          <w:szCs w:val="32"/>
        </w:rPr>
      </w:pPr>
      <w:r>
        <w:rPr>
          <w:rFonts w:hint="eastAsia" w:ascii="仿宋" w:hAnsi="仿宋" w:eastAsia="仿宋"/>
          <w:sz w:val="32"/>
          <w:szCs w:val="32"/>
        </w:rPr>
        <w:t>2018年度本部门</w:t>
      </w:r>
      <w:r>
        <w:rPr>
          <w:rFonts w:ascii="仿宋" w:hAnsi="仿宋" w:eastAsia="仿宋"/>
          <w:sz w:val="32"/>
          <w:szCs w:val="32"/>
        </w:rPr>
        <w:t>财政拨款</w:t>
      </w:r>
      <w:r>
        <w:rPr>
          <w:rFonts w:hint="eastAsia" w:ascii="仿宋" w:hAnsi="仿宋" w:eastAsia="仿宋"/>
          <w:sz w:val="32"/>
          <w:szCs w:val="32"/>
        </w:rPr>
        <w:t>支出</w:t>
      </w:r>
      <w:r>
        <w:rPr>
          <w:rFonts w:ascii="仿宋" w:hAnsi="仿宋" w:eastAsia="仿宋"/>
          <w:sz w:val="32"/>
          <w:szCs w:val="32"/>
        </w:rPr>
        <w:t>517.95</w:t>
      </w:r>
      <w:r>
        <w:rPr>
          <w:rFonts w:hint="eastAsia" w:ascii="仿宋" w:hAnsi="仿宋" w:eastAsia="仿宋"/>
          <w:sz w:val="32"/>
          <w:szCs w:val="32"/>
        </w:rPr>
        <w:t>万元，与上年相比，增加252.18万元，增加94.89%,主要原因是：人员工资调增，侗山红演出聘用人员演出开支，侗山红前期创作经费开支。</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五、一般公共预算财政拨款支出决算情况说明</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（一）财政拨款支出决算总体情况</w:t>
      </w:r>
    </w:p>
    <w:p>
      <w:pPr>
        <w:widowControl/>
        <w:spacing w:line="600" w:lineRule="exact"/>
        <w:ind w:firstLine="640" w:firstLineChars="200"/>
        <w:rPr>
          <w:rFonts w:ascii="仿宋" w:hAnsi="仿宋" w:eastAsia="仿宋"/>
          <w:sz w:val="32"/>
          <w:szCs w:val="32"/>
        </w:rPr>
      </w:pPr>
      <w:r>
        <w:rPr>
          <w:rFonts w:hint="eastAsia" w:ascii="仿宋" w:hAnsi="仿宋" w:eastAsia="仿宋"/>
          <w:sz w:val="32"/>
          <w:szCs w:val="32"/>
        </w:rPr>
        <w:t>财政拨款本年支出数为</w:t>
      </w:r>
      <w:r>
        <w:rPr>
          <w:rFonts w:ascii="仿宋" w:hAnsi="仿宋" w:eastAsia="仿宋"/>
          <w:sz w:val="32"/>
          <w:szCs w:val="32"/>
        </w:rPr>
        <w:t>517.95</w:t>
      </w:r>
      <w:r>
        <w:rPr>
          <w:rFonts w:hint="eastAsia" w:ascii="仿宋" w:hAnsi="仿宋" w:eastAsia="仿宋"/>
          <w:sz w:val="32"/>
          <w:szCs w:val="32"/>
        </w:rPr>
        <w:t>万元，与上年相比，增加252.18万元，增加94.89%,主要原因是：人员工资调增，侗山红演出聘用人员演出开支，侗山红前期创作经费开支。</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rPr>
        <w:t>二</w:t>
      </w:r>
      <w:r>
        <w:rPr>
          <w:rFonts w:ascii="Times New Roman" w:hAnsi="Times New Roman" w:eastAsia="仿宋_GB2312" w:cs="Times New Roman"/>
          <w:kern w:val="0"/>
          <w:sz w:val="32"/>
          <w:szCs w:val="32"/>
        </w:rPr>
        <w:t>）财政拨款支出决算结构情况</w:t>
      </w:r>
    </w:p>
    <w:p>
      <w:pPr>
        <w:widowControl/>
        <w:spacing w:line="600" w:lineRule="exact"/>
        <w:ind w:firstLine="640" w:firstLineChars="200"/>
        <w:rPr>
          <w:rFonts w:ascii="仿宋" w:hAnsi="仿宋" w:eastAsia="仿宋"/>
          <w:sz w:val="32"/>
          <w:szCs w:val="32"/>
        </w:rPr>
      </w:pPr>
      <w:r>
        <w:rPr>
          <w:rFonts w:hint="eastAsia" w:ascii="仿宋" w:hAnsi="仿宋" w:eastAsia="仿宋"/>
          <w:sz w:val="32"/>
          <w:szCs w:val="32"/>
        </w:rPr>
        <w:t>2018年度财政拨款支出基本支出</w:t>
      </w:r>
      <w:r>
        <w:rPr>
          <w:rFonts w:ascii="仿宋" w:hAnsi="仿宋" w:eastAsia="仿宋"/>
          <w:sz w:val="32"/>
          <w:szCs w:val="32"/>
        </w:rPr>
        <w:t>517.95</w:t>
      </w:r>
      <w:r>
        <w:rPr>
          <w:rFonts w:hint="eastAsia" w:ascii="仿宋" w:hAnsi="仿宋" w:eastAsia="仿宋"/>
          <w:sz w:val="32"/>
          <w:szCs w:val="32"/>
        </w:rPr>
        <w:t>万元，其中：工资福利支出</w:t>
      </w:r>
      <w:r>
        <w:rPr>
          <w:rFonts w:ascii="仿宋" w:hAnsi="仿宋" w:eastAsia="仿宋"/>
          <w:sz w:val="32"/>
          <w:szCs w:val="32"/>
        </w:rPr>
        <w:t>202.67</w:t>
      </w:r>
      <w:r>
        <w:rPr>
          <w:rFonts w:hint="eastAsia" w:ascii="仿宋" w:hAnsi="仿宋" w:eastAsia="仿宋"/>
          <w:sz w:val="32"/>
          <w:szCs w:val="32"/>
        </w:rPr>
        <w:t>万元，占财政拨款支出的39.13%；商品和服务支出</w:t>
      </w:r>
      <w:r>
        <w:rPr>
          <w:rFonts w:ascii="仿宋" w:hAnsi="仿宋" w:eastAsia="仿宋"/>
          <w:sz w:val="32"/>
          <w:szCs w:val="32"/>
        </w:rPr>
        <w:t>199.15</w:t>
      </w:r>
      <w:r>
        <w:rPr>
          <w:rFonts w:hint="eastAsia" w:ascii="仿宋" w:hAnsi="仿宋" w:eastAsia="仿宋"/>
          <w:sz w:val="32"/>
          <w:szCs w:val="32"/>
        </w:rPr>
        <w:t>万元，占财政拨款支出的38.45%；对个人和家庭的补助</w:t>
      </w:r>
      <w:r>
        <w:rPr>
          <w:rFonts w:ascii="仿宋" w:hAnsi="仿宋" w:eastAsia="仿宋"/>
          <w:sz w:val="32"/>
          <w:szCs w:val="32"/>
        </w:rPr>
        <w:t>54.35</w:t>
      </w:r>
      <w:r>
        <w:rPr>
          <w:rFonts w:hint="eastAsia" w:ascii="仿宋" w:hAnsi="仿宋" w:eastAsia="仿宋"/>
          <w:sz w:val="32"/>
          <w:szCs w:val="32"/>
        </w:rPr>
        <w:t>万元，占财政拨款支出的10.49%；资本性支出</w:t>
      </w:r>
      <w:r>
        <w:rPr>
          <w:rFonts w:ascii="仿宋" w:hAnsi="仿宋" w:eastAsia="仿宋"/>
          <w:sz w:val="32"/>
          <w:szCs w:val="32"/>
        </w:rPr>
        <w:t>61.77</w:t>
      </w:r>
      <w:r>
        <w:rPr>
          <w:rFonts w:hint="eastAsia" w:ascii="仿宋" w:hAnsi="仿宋" w:eastAsia="仿宋"/>
          <w:sz w:val="32"/>
          <w:szCs w:val="32"/>
        </w:rPr>
        <w:t>万元，占财政拨款支出的11.93%。</w:t>
      </w:r>
    </w:p>
    <w:p>
      <w:pPr>
        <w:widowControl/>
        <w:numPr>
          <w:ilvl w:val="0"/>
          <w:numId w:val="1"/>
        </w:numPr>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财政拨款支出决算具体情况</w:t>
      </w:r>
    </w:p>
    <w:p>
      <w:pPr>
        <w:pStyle w:val="10"/>
        <w:ind w:firstLine="800" w:firstLineChars="250"/>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年度财政拨款支出年初预算数为</w:t>
      </w:r>
      <w:r>
        <w:rPr>
          <w:rFonts w:hint="eastAsia" w:ascii="仿宋" w:hAnsi="仿宋" w:eastAsia="仿宋" w:cs="仿宋"/>
          <w:color w:val="000000" w:themeColor="text1"/>
          <w:sz w:val="32"/>
          <w:szCs w:val="32"/>
          <w:lang w:val="en-US" w:eastAsia="zh-CN"/>
        </w:rPr>
        <w:t>487.16</w:t>
      </w:r>
      <w:r>
        <w:rPr>
          <w:rFonts w:hint="eastAsia" w:ascii="仿宋" w:hAnsi="仿宋" w:eastAsia="仿宋" w:cs="仿宋"/>
          <w:sz w:val="32"/>
          <w:szCs w:val="32"/>
        </w:rPr>
        <w:t>万元，</w:t>
      </w:r>
      <w:r>
        <w:rPr>
          <w:rFonts w:hint="eastAsia" w:ascii="仿宋" w:hAnsi="仿宋" w:eastAsia="仿宋" w:cs="仿宋"/>
          <w:color w:val="000000" w:themeColor="text1"/>
          <w:sz w:val="32"/>
          <w:szCs w:val="32"/>
        </w:rPr>
        <w:t>上年结余</w:t>
      </w:r>
      <w:r>
        <w:rPr>
          <w:rFonts w:hint="eastAsia" w:ascii="仿宋" w:hAnsi="仿宋" w:eastAsia="仿宋" w:cs="仿宋"/>
          <w:color w:val="000000" w:themeColor="text1"/>
          <w:sz w:val="32"/>
          <w:szCs w:val="32"/>
          <w:lang w:val="en-US" w:eastAsia="zh-CN"/>
        </w:rPr>
        <w:t>30.79</w:t>
      </w:r>
      <w:r>
        <w:rPr>
          <w:rFonts w:hint="eastAsia" w:ascii="仿宋" w:hAnsi="仿宋" w:eastAsia="仿宋" w:cs="仿宋"/>
          <w:color w:val="000000" w:themeColor="text1"/>
          <w:sz w:val="32"/>
          <w:szCs w:val="32"/>
        </w:rPr>
        <w:t>万元，</w:t>
      </w:r>
      <w:r>
        <w:rPr>
          <w:rFonts w:hint="eastAsia" w:ascii="仿宋" w:hAnsi="仿宋" w:eastAsia="仿宋" w:cs="仿宋"/>
          <w:sz w:val="32"/>
          <w:szCs w:val="32"/>
        </w:rPr>
        <w:t>支出决算数为</w:t>
      </w:r>
      <w:r>
        <w:rPr>
          <w:rFonts w:hint="eastAsia" w:ascii="仿宋" w:hAnsi="仿宋" w:eastAsia="仿宋" w:cs="仿宋"/>
          <w:color w:val="000000" w:themeColor="text1"/>
          <w:sz w:val="32"/>
          <w:szCs w:val="32"/>
          <w:lang w:val="en-US" w:eastAsia="zh-CN"/>
        </w:rPr>
        <w:t>517.95</w:t>
      </w:r>
      <w:r>
        <w:rPr>
          <w:rFonts w:hint="eastAsia" w:ascii="仿宋" w:hAnsi="仿宋" w:eastAsia="仿宋" w:cs="仿宋"/>
          <w:sz w:val="32"/>
          <w:szCs w:val="32"/>
        </w:rPr>
        <w:t>万元，完成年初预算的100%。</w:t>
      </w:r>
    </w:p>
    <w:p>
      <w:pPr>
        <w:pStyle w:val="10"/>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文化旅游体育与传媒（类）文化和旅游（款）文化体育与传媒支出</w:t>
      </w:r>
      <w:r>
        <w:rPr>
          <w:rFonts w:hint="eastAsia" w:ascii="仿宋" w:hAnsi="仿宋" w:eastAsia="仿宋" w:cs="仿宋"/>
          <w:sz w:val="32"/>
          <w:szCs w:val="32"/>
          <w:lang w:eastAsia="zh-CN"/>
        </w:rPr>
        <w:t>。</w:t>
      </w:r>
    </w:p>
    <w:p>
      <w:pPr>
        <w:pStyle w:val="10"/>
        <w:ind w:firstLine="640" w:firstLineChars="200"/>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410.3</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441.09</w:t>
      </w:r>
      <w:r>
        <w:rPr>
          <w:rFonts w:hint="eastAsia" w:ascii="仿宋" w:hAnsi="仿宋" w:eastAsia="仿宋" w:cs="仿宋"/>
          <w:sz w:val="32"/>
          <w:szCs w:val="32"/>
        </w:rPr>
        <w:t>万元，决算数</w:t>
      </w:r>
      <w:r>
        <w:rPr>
          <w:rFonts w:hint="eastAsia" w:ascii="仿宋" w:hAnsi="仿宋" w:eastAsia="仿宋" w:cs="仿宋"/>
          <w:sz w:val="32"/>
          <w:szCs w:val="32"/>
          <w:lang w:val="en-US" w:eastAsia="zh-CN"/>
        </w:rPr>
        <w:t>大</w:t>
      </w:r>
      <w:r>
        <w:rPr>
          <w:rFonts w:hint="eastAsia" w:ascii="仿宋" w:hAnsi="仿宋" w:eastAsia="仿宋" w:cs="仿宋"/>
          <w:sz w:val="32"/>
          <w:szCs w:val="32"/>
        </w:rPr>
        <w:t>于年初预算数的主要原因是：本年度发生经费，而年初预算未纳入。</w:t>
      </w:r>
    </w:p>
    <w:p>
      <w:pPr>
        <w:pStyle w:val="10"/>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文化旅游体育与传媒（类）文化和旅游（款）艺术表演团体（项）。</w:t>
      </w:r>
    </w:p>
    <w:p>
      <w:pPr>
        <w:pStyle w:val="10"/>
        <w:ind w:firstLine="640" w:firstLineChars="200"/>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236.83</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236.83</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100%完成</w:t>
      </w:r>
      <w:r>
        <w:rPr>
          <w:rFonts w:hint="eastAsia" w:ascii="仿宋" w:hAnsi="仿宋" w:eastAsia="仿宋" w:cs="仿宋"/>
          <w:sz w:val="32"/>
          <w:szCs w:val="32"/>
        </w:rPr>
        <w:t>。</w:t>
      </w:r>
    </w:p>
    <w:p>
      <w:pPr>
        <w:pStyle w:val="10"/>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文化旅游体育与传媒（类）文化和旅游（款）文化创作与保护（项）。</w:t>
      </w:r>
    </w:p>
    <w:p>
      <w:pPr>
        <w:pStyle w:val="10"/>
        <w:ind w:firstLine="640" w:firstLineChars="200"/>
        <w:rPr>
          <w:rFonts w:hint="eastAsia" w:ascii="仿宋" w:hAnsi="仿宋" w:eastAsia="仿宋" w:cs="仿宋"/>
          <w:sz w:val="32"/>
          <w:szCs w:val="32"/>
        </w:rPr>
      </w:pPr>
      <w:r>
        <w:rPr>
          <w:rFonts w:hint="eastAsia" w:ascii="仿宋" w:hAnsi="仿宋" w:eastAsia="仿宋" w:cs="仿宋"/>
          <w:sz w:val="32"/>
          <w:szCs w:val="32"/>
        </w:rPr>
        <w:t>年初预算为0万元，支出决算为</w:t>
      </w:r>
      <w:r>
        <w:rPr>
          <w:rFonts w:hint="eastAsia" w:ascii="仿宋" w:hAnsi="仿宋" w:eastAsia="仿宋" w:cs="仿宋"/>
          <w:sz w:val="32"/>
          <w:szCs w:val="32"/>
          <w:lang w:val="en-US" w:eastAsia="zh-CN"/>
        </w:rPr>
        <w:t>50</w:t>
      </w:r>
      <w:r>
        <w:rPr>
          <w:rFonts w:hint="eastAsia" w:ascii="仿宋" w:hAnsi="仿宋" w:eastAsia="仿宋" w:cs="仿宋"/>
          <w:sz w:val="32"/>
          <w:szCs w:val="32"/>
        </w:rPr>
        <w:t>万元，决算数</w:t>
      </w:r>
      <w:r>
        <w:rPr>
          <w:rFonts w:hint="eastAsia" w:ascii="仿宋" w:hAnsi="仿宋" w:eastAsia="仿宋" w:cs="仿宋"/>
          <w:sz w:val="32"/>
          <w:szCs w:val="32"/>
          <w:lang w:val="en-US" w:eastAsia="zh-CN"/>
        </w:rPr>
        <w:t>大</w:t>
      </w:r>
      <w:r>
        <w:rPr>
          <w:rFonts w:hint="eastAsia" w:ascii="仿宋" w:hAnsi="仿宋" w:eastAsia="仿宋" w:cs="仿宋"/>
          <w:sz w:val="32"/>
          <w:szCs w:val="32"/>
        </w:rPr>
        <w:t>于年初预算数的主要原因是：本年度发生经费，而年初预算未纳入。</w:t>
      </w:r>
    </w:p>
    <w:p>
      <w:pPr>
        <w:pStyle w:val="10"/>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文化旅游体育与传媒（类）文化和旅游（款）其他文化和旅游（项）。</w:t>
      </w:r>
    </w:p>
    <w:p>
      <w:pPr>
        <w:pStyle w:val="10"/>
        <w:ind w:firstLine="640" w:firstLineChars="200"/>
        <w:rPr>
          <w:rFonts w:hint="eastAsia" w:ascii="仿宋" w:hAnsi="仿宋" w:eastAsia="仿宋" w:cs="仿宋"/>
          <w:sz w:val="32"/>
          <w:szCs w:val="32"/>
        </w:rPr>
      </w:pPr>
      <w:r>
        <w:rPr>
          <w:rFonts w:hint="eastAsia" w:ascii="仿宋" w:hAnsi="仿宋" w:eastAsia="仿宋" w:cs="仿宋"/>
          <w:sz w:val="32"/>
          <w:szCs w:val="32"/>
        </w:rPr>
        <w:t>年初预算为0万元，支出决算为</w:t>
      </w:r>
      <w:r>
        <w:rPr>
          <w:rFonts w:hint="eastAsia" w:ascii="仿宋" w:hAnsi="仿宋" w:eastAsia="仿宋" w:cs="仿宋"/>
          <w:sz w:val="32"/>
          <w:szCs w:val="32"/>
          <w:lang w:val="en-US" w:eastAsia="zh-CN"/>
        </w:rPr>
        <w:t>144.62</w:t>
      </w:r>
      <w:r>
        <w:rPr>
          <w:rFonts w:hint="eastAsia" w:ascii="仿宋" w:hAnsi="仿宋" w:eastAsia="仿宋" w:cs="仿宋"/>
          <w:sz w:val="32"/>
          <w:szCs w:val="32"/>
        </w:rPr>
        <w:t>万元，决算数</w:t>
      </w:r>
      <w:r>
        <w:rPr>
          <w:rFonts w:hint="eastAsia" w:ascii="仿宋" w:hAnsi="仿宋" w:eastAsia="仿宋" w:cs="仿宋"/>
          <w:sz w:val="32"/>
          <w:szCs w:val="32"/>
          <w:lang w:val="en-US" w:eastAsia="zh-CN"/>
        </w:rPr>
        <w:t>大</w:t>
      </w:r>
      <w:r>
        <w:rPr>
          <w:rFonts w:hint="eastAsia" w:ascii="仿宋" w:hAnsi="仿宋" w:eastAsia="仿宋" w:cs="仿宋"/>
          <w:sz w:val="32"/>
          <w:szCs w:val="32"/>
        </w:rPr>
        <w:t>于年初预算数的主要原因是：本年度发生人员经费和公用经费，而年初预算未纳入。</w:t>
      </w:r>
    </w:p>
    <w:p>
      <w:pPr>
        <w:pStyle w:val="10"/>
        <w:numPr>
          <w:numId w:val="0"/>
        </w:numPr>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社会保障和就业（类）行政事业单位离退休（款）事业单位离退休（项）。</w:t>
      </w:r>
    </w:p>
    <w:p>
      <w:pPr>
        <w:pStyle w:val="10"/>
        <w:ind w:firstLine="640" w:firstLineChars="200"/>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49.65</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49.65</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ind w:firstLine="640" w:firstLineChars="200"/>
        <w:rPr>
          <w:rFonts w:ascii="仿宋" w:hAnsi="仿宋" w:eastAsia="仿宋"/>
          <w:sz w:val="32"/>
          <w:szCs w:val="32"/>
        </w:rPr>
      </w:pPr>
      <w:r>
        <w:rPr>
          <w:rFonts w:hint="eastAsia" w:ascii="仿宋" w:hAnsi="仿宋" w:eastAsia="仿宋"/>
          <w:sz w:val="32"/>
          <w:szCs w:val="32"/>
        </w:rPr>
        <w:t>本部门一般公共预算财政拨款基本支出</w:t>
      </w:r>
      <w:r>
        <w:rPr>
          <w:rFonts w:ascii="仿宋" w:hAnsi="仿宋" w:eastAsia="仿宋"/>
          <w:sz w:val="32"/>
          <w:szCs w:val="32"/>
        </w:rPr>
        <w:t>517.95</w:t>
      </w:r>
      <w:r>
        <w:rPr>
          <w:rFonts w:hint="eastAsia" w:ascii="仿宋" w:hAnsi="仿宋" w:eastAsia="仿宋"/>
          <w:sz w:val="32"/>
          <w:szCs w:val="32"/>
        </w:rPr>
        <w:t>万元，其中：人员经费257.03万元，占比49.62%，公用经费260.92万元，占比50.38%。</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七、一般公共预算财政拨款“三公”经费支出决算情况说明</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（一）“三公”经费财政拨款支出决算总体情况说明</w:t>
      </w:r>
    </w:p>
    <w:p>
      <w:pPr>
        <w:widowControl/>
        <w:spacing w:line="600" w:lineRule="exact"/>
        <w:ind w:firstLine="640" w:firstLineChars="200"/>
        <w:rPr>
          <w:rFonts w:ascii="仿宋" w:hAnsi="仿宋" w:eastAsia="仿宋"/>
          <w:sz w:val="32"/>
          <w:szCs w:val="32"/>
        </w:rPr>
      </w:pPr>
      <w:r>
        <w:rPr>
          <w:rFonts w:hint="eastAsia" w:ascii="仿宋" w:hAnsi="仿宋" w:eastAsia="仿宋"/>
          <w:sz w:val="32"/>
          <w:szCs w:val="32"/>
        </w:rPr>
        <w:t>2018年度“三公”经费决算支出为</w:t>
      </w:r>
      <w:r>
        <w:rPr>
          <w:rFonts w:ascii="仿宋" w:hAnsi="仿宋" w:eastAsia="仿宋"/>
          <w:sz w:val="32"/>
          <w:szCs w:val="32"/>
        </w:rPr>
        <w:t>7.52</w:t>
      </w:r>
      <w:r>
        <w:rPr>
          <w:rFonts w:hint="eastAsia" w:ascii="仿宋" w:hAnsi="仿宋" w:eastAsia="仿宋"/>
          <w:sz w:val="32"/>
          <w:szCs w:val="32"/>
        </w:rPr>
        <w:t>万元，其中</w:t>
      </w:r>
      <w:r>
        <w:rPr>
          <w:rFonts w:hint="eastAsia" w:ascii="仿宋_GB2312" w:hAnsi="仿宋_GB2312" w:eastAsia="仿宋_GB2312" w:cs="仿宋_GB2312"/>
          <w:sz w:val="32"/>
          <w:szCs w:val="32"/>
        </w:rPr>
        <w:t>公务用车购置及运行维护</w:t>
      </w:r>
      <w:r>
        <w:rPr>
          <w:rFonts w:hint="eastAsia" w:ascii="仿宋" w:hAnsi="仿宋" w:eastAsia="仿宋"/>
          <w:sz w:val="32"/>
          <w:szCs w:val="32"/>
        </w:rPr>
        <w:t>为</w:t>
      </w:r>
      <w:r>
        <w:rPr>
          <w:rFonts w:ascii="仿宋" w:hAnsi="仿宋" w:eastAsia="仿宋"/>
          <w:sz w:val="32"/>
          <w:szCs w:val="32"/>
        </w:rPr>
        <w:t>5.24</w:t>
      </w:r>
      <w:r>
        <w:rPr>
          <w:rFonts w:hint="eastAsia" w:ascii="仿宋" w:hAnsi="仿宋" w:eastAsia="仿宋"/>
          <w:sz w:val="32"/>
          <w:szCs w:val="32"/>
        </w:rPr>
        <w:t>万元、公务接待费</w:t>
      </w:r>
      <w:r>
        <w:rPr>
          <w:rFonts w:ascii="仿宋" w:hAnsi="仿宋" w:eastAsia="仿宋"/>
          <w:sz w:val="32"/>
          <w:szCs w:val="32"/>
        </w:rPr>
        <w:t>2.28</w:t>
      </w:r>
      <w:r>
        <w:rPr>
          <w:rFonts w:hint="eastAsia" w:ascii="仿宋" w:hAnsi="仿宋" w:eastAsia="仿宋"/>
          <w:sz w:val="32"/>
          <w:szCs w:val="32"/>
        </w:rPr>
        <w:t>万元，因公出国费用为0万元。上年决算支出3.84万元，其中</w:t>
      </w:r>
      <w:r>
        <w:rPr>
          <w:rFonts w:hint="eastAsia" w:ascii="仿宋_GB2312" w:hAnsi="仿宋_GB2312" w:eastAsia="仿宋_GB2312" w:cs="仿宋_GB2312"/>
          <w:sz w:val="32"/>
          <w:szCs w:val="32"/>
        </w:rPr>
        <w:t>公务用车购置及运行维护</w:t>
      </w:r>
      <w:r>
        <w:rPr>
          <w:rFonts w:hint="eastAsia" w:ascii="仿宋" w:hAnsi="仿宋" w:eastAsia="仿宋"/>
          <w:sz w:val="32"/>
          <w:szCs w:val="32"/>
        </w:rPr>
        <w:t>为3.30万元、公务接待0.54万元，因公出国费用为0万元；2018年度“三公”经费年初预算为8.50万元，其中</w:t>
      </w:r>
      <w:r>
        <w:rPr>
          <w:rFonts w:hint="eastAsia" w:ascii="仿宋_GB2312" w:hAnsi="仿宋_GB2312" w:eastAsia="仿宋_GB2312" w:cs="仿宋_GB2312"/>
          <w:sz w:val="32"/>
          <w:szCs w:val="32"/>
        </w:rPr>
        <w:t>公务用车购置及运行维护</w:t>
      </w:r>
      <w:r>
        <w:rPr>
          <w:rFonts w:hint="eastAsia" w:ascii="仿宋" w:hAnsi="仿宋" w:eastAsia="仿宋"/>
          <w:sz w:val="32"/>
          <w:szCs w:val="32"/>
        </w:rPr>
        <w:t>为6万元、公务接待费2.5万元，因公出国费用为0万元。</w:t>
      </w:r>
    </w:p>
    <w:p>
      <w:pPr>
        <w:widowControl/>
        <w:spacing w:line="600" w:lineRule="exact"/>
        <w:ind w:firstLine="640" w:firstLineChars="200"/>
        <w:rPr>
          <w:rFonts w:ascii="仿宋" w:hAnsi="仿宋" w:eastAsia="仿宋_GB2312"/>
          <w:sz w:val="32"/>
          <w:szCs w:val="32"/>
        </w:rPr>
      </w:pPr>
      <w:r>
        <w:rPr>
          <w:rFonts w:hint="eastAsia" w:ascii="仿宋" w:hAnsi="仿宋" w:eastAsia="仿宋"/>
          <w:sz w:val="32"/>
          <w:szCs w:val="32"/>
        </w:rPr>
        <w:t>2018年度“三公经费”决算支出与预算数相比，减少了0</w:t>
      </w:r>
      <w:r>
        <w:rPr>
          <w:rFonts w:ascii="仿宋" w:hAnsi="仿宋" w:eastAsia="仿宋"/>
          <w:sz w:val="32"/>
          <w:szCs w:val="32"/>
        </w:rPr>
        <w:t>.98</w:t>
      </w:r>
      <w:r>
        <w:rPr>
          <w:rFonts w:hint="eastAsia" w:ascii="仿宋" w:hAnsi="仿宋" w:eastAsia="仿宋"/>
          <w:sz w:val="32"/>
          <w:szCs w:val="32"/>
        </w:rPr>
        <w:t>万元，上年相比增加3.68万元，原因是</w:t>
      </w:r>
      <w:r>
        <w:rPr>
          <w:rFonts w:hint="eastAsia" w:ascii="仿宋_GB2312" w:hAnsi="仿宋_GB2312" w:eastAsia="仿宋_GB2312" w:cs="仿宋_GB2312"/>
          <w:sz w:val="32"/>
          <w:szCs w:val="32"/>
        </w:rPr>
        <w:t>侗山红前期招待专业老师开支，侗山红各地演出用车。</w:t>
      </w:r>
    </w:p>
    <w:p>
      <w:pPr>
        <w:widowControl/>
        <w:spacing w:line="600" w:lineRule="exact"/>
        <w:ind w:firstLine="800" w:firstLineChars="25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（二）“三公”经费财政拨款支出决算具体情况说明</w:t>
      </w:r>
    </w:p>
    <w:p>
      <w:pPr>
        <w:widowControl/>
        <w:spacing w:line="600" w:lineRule="exact"/>
        <w:ind w:firstLine="640" w:firstLineChars="200"/>
        <w:rPr>
          <w:rFonts w:ascii="仿宋" w:hAnsi="仿宋" w:eastAsia="仿宋"/>
          <w:sz w:val="32"/>
          <w:szCs w:val="32"/>
        </w:rPr>
      </w:pPr>
      <w:r>
        <w:rPr>
          <w:rFonts w:hint="eastAsia" w:ascii="仿宋" w:hAnsi="仿宋" w:eastAsia="仿宋"/>
          <w:sz w:val="32"/>
          <w:szCs w:val="32"/>
        </w:rPr>
        <w:t>本部门</w:t>
      </w:r>
      <w:r>
        <w:rPr>
          <w:rFonts w:ascii="仿宋" w:hAnsi="仿宋" w:eastAsia="仿宋"/>
          <w:sz w:val="32"/>
          <w:szCs w:val="32"/>
        </w:rPr>
        <w:t>2018年度因公出国（境）组（参）团0个</w:t>
      </w:r>
      <w:r>
        <w:rPr>
          <w:rFonts w:hint="eastAsia" w:ascii="仿宋" w:hAnsi="仿宋" w:eastAsia="仿宋"/>
          <w:sz w:val="32"/>
          <w:szCs w:val="32"/>
        </w:rPr>
        <w:t>，累计0人次</w:t>
      </w:r>
      <w:r>
        <w:rPr>
          <w:rFonts w:ascii="仿宋" w:hAnsi="仿宋" w:eastAsia="仿宋"/>
          <w:sz w:val="32"/>
          <w:szCs w:val="32"/>
        </w:rPr>
        <w:t>；公务用车购置0</w:t>
      </w:r>
      <w:r>
        <w:rPr>
          <w:rFonts w:hint="eastAsia" w:ascii="仿宋" w:hAnsi="仿宋" w:eastAsia="仿宋"/>
          <w:sz w:val="32"/>
          <w:szCs w:val="32"/>
        </w:rPr>
        <w:t>万元；</w:t>
      </w:r>
      <w:r>
        <w:rPr>
          <w:rFonts w:hint="eastAsia" w:ascii="仿宋" w:hAnsi="仿宋" w:eastAsia="仿宋"/>
          <w:sz w:val="32"/>
          <w:szCs w:val="32"/>
          <w:highlight w:val="none"/>
        </w:rPr>
        <w:t>公务用车运行费5</w:t>
      </w:r>
      <w:r>
        <w:rPr>
          <w:rFonts w:ascii="仿宋" w:hAnsi="仿宋" w:eastAsia="仿宋"/>
          <w:sz w:val="32"/>
          <w:szCs w:val="32"/>
          <w:highlight w:val="none"/>
        </w:rPr>
        <w:t>.24</w:t>
      </w:r>
      <w:r>
        <w:rPr>
          <w:rFonts w:hint="eastAsia" w:ascii="仿宋" w:hAnsi="仿宋" w:eastAsia="仿宋"/>
          <w:sz w:val="32"/>
          <w:szCs w:val="32"/>
          <w:highlight w:val="none"/>
        </w:rPr>
        <w:t>万元，</w:t>
      </w:r>
      <w:r>
        <w:rPr>
          <w:rFonts w:ascii="仿宋" w:hAnsi="仿宋" w:eastAsia="仿宋"/>
          <w:sz w:val="32"/>
          <w:szCs w:val="32"/>
          <w:highlight w:val="none"/>
        </w:rPr>
        <w:t>年末公务用车保有量</w:t>
      </w:r>
      <w:r>
        <w:rPr>
          <w:rFonts w:hint="eastAsia" w:ascii="仿宋" w:hAnsi="仿宋" w:eastAsia="仿宋"/>
          <w:sz w:val="32"/>
          <w:szCs w:val="32"/>
          <w:highlight w:val="none"/>
        </w:rPr>
        <w:t>3</w:t>
      </w:r>
      <w:r>
        <w:rPr>
          <w:rFonts w:ascii="仿宋" w:hAnsi="仿宋" w:eastAsia="仿宋"/>
          <w:sz w:val="32"/>
          <w:szCs w:val="32"/>
          <w:highlight w:val="none"/>
        </w:rPr>
        <w:t>辆；国内公务接待批次68次</w:t>
      </w:r>
      <w:r>
        <w:rPr>
          <w:rFonts w:ascii="仿宋" w:hAnsi="仿宋" w:eastAsia="仿宋"/>
          <w:sz w:val="32"/>
          <w:szCs w:val="32"/>
        </w:rPr>
        <w:t>，接待人次286人。</w:t>
      </w:r>
      <w:bookmarkStart w:id="0" w:name="_GoBack"/>
      <w:bookmarkEnd w:id="0"/>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八、政府性基金预算收入支出决算情况</w:t>
      </w:r>
    </w:p>
    <w:p>
      <w:pPr>
        <w:widowControl/>
        <w:spacing w:line="600" w:lineRule="exact"/>
        <w:ind w:firstLine="640" w:firstLineChars="200"/>
        <w:rPr>
          <w:rFonts w:ascii="仿宋" w:hAnsi="仿宋" w:eastAsia="仿宋"/>
          <w:sz w:val="32"/>
          <w:szCs w:val="32"/>
        </w:rPr>
      </w:pPr>
      <w:r>
        <w:rPr>
          <w:rFonts w:hint="eastAsia" w:ascii="仿宋" w:hAnsi="仿宋" w:eastAsia="仿宋"/>
          <w:sz w:val="32"/>
          <w:szCs w:val="32"/>
        </w:rPr>
        <w:t>本单位无政府性基金收支。</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九、关于201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年度预算绩效情况说明</w:t>
      </w:r>
    </w:p>
    <w:p>
      <w:pPr>
        <w:spacing w:line="600" w:lineRule="exact"/>
        <w:ind w:firstLine="640" w:firstLineChars="200"/>
        <w:rPr>
          <w:rFonts w:ascii="Times New Roman" w:hAnsi="Times New Roman" w:eastAsia="仿宋_GB2312" w:cs="Times New Roman"/>
          <w:kern w:val="0"/>
          <w:sz w:val="32"/>
          <w:szCs w:val="32"/>
        </w:rPr>
      </w:pPr>
      <w:r>
        <w:rPr>
          <w:rFonts w:hint="eastAsia" w:eastAsia="仿宋_GB2312"/>
          <w:kern w:val="0"/>
          <w:sz w:val="32"/>
          <w:szCs w:val="32"/>
        </w:rPr>
        <w:t>本</w:t>
      </w:r>
      <w:r>
        <w:rPr>
          <w:rFonts w:hint="eastAsia" w:ascii="仿宋" w:hAnsi="仿宋" w:eastAsia="仿宋"/>
          <w:sz w:val="32"/>
          <w:szCs w:val="32"/>
        </w:rPr>
        <w:t>部门2018</w:t>
      </w:r>
      <w:r>
        <w:rPr>
          <w:rFonts w:hint="eastAsia" w:eastAsia="仿宋_GB2312"/>
          <w:kern w:val="0"/>
          <w:sz w:val="32"/>
          <w:szCs w:val="32"/>
        </w:rPr>
        <w:t>年按要求认真开展落实绩效管理工作，切实完成年度绩效目标和绩效评价工作。2018年本部门强化预算执行管理，严肃财经纪律，狠抓厉行节约，从严控制“三公”经费和会议费等一般性支出，保证了机构正常运行，各项工作开展有序，总体运行良好。</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十、其他重要事项</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（一）机关运行经费支出情况。本部门201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年度机关运行经费支出199.15万元，比</w:t>
      </w:r>
      <w:r>
        <w:rPr>
          <w:rFonts w:hint="eastAsia" w:ascii="Times New Roman" w:hAnsi="Times New Roman" w:eastAsia="仿宋_GB2312" w:cs="Times New Roman"/>
          <w:kern w:val="0"/>
          <w:sz w:val="32"/>
          <w:szCs w:val="32"/>
        </w:rPr>
        <w:t>年初预算数</w:t>
      </w:r>
      <w:r>
        <w:rPr>
          <w:rFonts w:ascii="Times New Roman" w:hAnsi="Times New Roman" w:eastAsia="仿宋_GB2312" w:cs="Times New Roman"/>
          <w:kern w:val="0"/>
          <w:sz w:val="32"/>
          <w:szCs w:val="32"/>
        </w:rPr>
        <w:t>增加</w:t>
      </w:r>
      <w:r>
        <w:rPr>
          <w:rFonts w:hint="eastAsia" w:ascii="Times New Roman" w:hAnsi="Times New Roman" w:eastAsia="仿宋_GB2312" w:cs="Times New Roman"/>
          <w:kern w:val="0"/>
          <w:sz w:val="32"/>
          <w:szCs w:val="32"/>
        </w:rPr>
        <w:t>99.19</w:t>
      </w:r>
      <w:r>
        <w:rPr>
          <w:rFonts w:ascii="Times New Roman" w:hAnsi="Times New Roman" w:eastAsia="仿宋_GB2312" w:cs="Times New Roman"/>
          <w:kern w:val="0"/>
          <w:sz w:val="32"/>
          <w:szCs w:val="32"/>
        </w:rPr>
        <w:t>万元，增长</w:t>
      </w:r>
      <w:r>
        <w:rPr>
          <w:rFonts w:hint="eastAsia" w:ascii="Times New Roman" w:hAnsi="Times New Roman" w:eastAsia="仿宋_GB2312" w:cs="Times New Roman"/>
          <w:kern w:val="0"/>
          <w:sz w:val="32"/>
          <w:szCs w:val="32"/>
        </w:rPr>
        <w:t>99.23</w:t>
      </w:r>
      <w:r>
        <w:rPr>
          <w:rFonts w:ascii="Times New Roman" w:hAnsi="Times New Roman" w:eastAsia="仿宋_GB2312" w:cs="Times New Roman"/>
          <w:kern w:val="0"/>
          <w:sz w:val="32"/>
          <w:szCs w:val="32"/>
        </w:rPr>
        <w:t>%。主要原因是：</w:t>
      </w:r>
      <w:r>
        <w:rPr>
          <w:rFonts w:hint="eastAsia" w:ascii="仿宋" w:hAnsi="仿宋" w:eastAsia="仿宋"/>
          <w:sz w:val="32"/>
          <w:szCs w:val="32"/>
        </w:rPr>
        <w:t>侗山红前期创作经费开支。</w:t>
      </w:r>
    </w:p>
    <w:p>
      <w:pPr>
        <w:autoSpaceDE w:val="0"/>
        <w:autoSpaceDN w:val="0"/>
        <w:adjustRightInd w:val="0"/>
        <w:ind w:firstLine="640" w:firstLineChars="200"/>
        <w:jc w:val="left"/>
        <w:rPr>
          <w:rFonts w:ascii="仿宋_GB2312" w:hAnsi="宋体" w:eastAsia="仿宋_GB2312"/>
          <w:kern w:val="0"/>
          <w:sz w:val="32"/>
          <w:szCs w:val="32"/>
        </w:rPr>
      </w:pPr>
      <w:r>
        <w:rPr>
          <w:rFonts w:ascii="Times New Roman" w:hAnsi="Times New Roman" w:eastAsia="仿宋_GB2312" w:cs="Times New Roman"/>
          <w:kern w:val="0"/>
          <w:sz w:val="32"/>
          <w:szCs w:val="32"/>
        </w:rPr>
        <w:t>（二）政府采购支出情况。本部门201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年度政府采购支出总额</w:t>
      </w:r>
      <w:r>
        <w:rPr>
          <w:rFonts w:hint="eastAsia" w:ascii="Times New Roman" w:hAnsi="Times New Roman" w:eastAsia="仿宋_GB2312" w:cs="Times New Roman"/>
          <w:kern w:val="0"/>
          <w:sz w:val="32"/>
          <w:szCs w:val="32"/>
        </w:rPr>
        <w:t>61.96</w:t>
      </w:r>
      <w:r>
        <w:rPr>
          <w:rFonts w:ascii="Times New Roman" w:hAnsi="Times New Roman" w:eastAsia="仿宋_GB2312" w:cs="Times New Roman"/>
          <w:kern w:val="0"/>
          <w:sz w:val="32"/>
          <w:szCs w:val="32"/>
        </w:rPr>
        <w:t>万元，其中：政府采购货物支出</w:t>
      </w:r>
      <w:r>
        <w:rPr>
          <w:rFonts w:hint="eastAsia" w:ascii="Times New Roman" w:hAnsi="Times New Roman" w:eastAsia="仿宋_GB2312" w:cs="Times New Roman"/>
          <w:kern w:val="0"/>
          <w:sz w:val="32"/>
          <w:szCs w:val="32"/>
        </w:rPr>
        <w:t>58.96</w:t>
      </w:r>
      <w:r>
        <w:rPr>
          <w:rFonts w:ascii="Times New Roman" w:hAnsi="Times New Roman" w:eastAsia="仿宋_GB2312" w:cs="Times New Roman"/>
          <w:kern w:val="0"/>
          <w:sz w:val="32"/>
          <w:szCs w:val="32"/>
        </w:rPr>
        <w:t>万元、政府采购工程支出</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万元、政府采购服务支出</w:t>
      </w:r>
      <w:r>
        <w:rPr>
          <w:rFonts w:hint="eastAsia" w:ascii="Times New Roman" w:hAnsi="Times New Roman" w:eastAsia="仿宋_GB2312" w:cs="Times New Roman"/>
          <w:kern w:val="0"/>
          <w:sz w:val="32"/>
          <w:szCs w:val="32"/>
        </w:rPr>
        <w:t>3</w:t>
      </w:r>
      <w:r>
        <w:rPr>
          <w:rFonts w:ascii="Times New Roman" w:hAnsi="Times New Roman" w:eastAsia="仿宋_GB2312" w:cs="Times New Roman"/>
          <w:kern w:val="0"/>
          <w:sz w:val="32"/>
          <w:szCs w:val="32"/>
        </w:rPr>
        <w:t>万元。</w:t>
      </w:r>
      <w:r>
        <w:rPr>
          <w:rFonts w:hint="eastAsia" w:ascii="仿宋" w:hAnsi="仿宋" w:eastAsia="仿宋" w:cs="仿宋"/>
          <w:kern w:val="0"/>
          <w:sz w:val="32"/>
          <w:szCs w:val="32"/>
        </w:rPr>
        <w:t>授予中小企业合同金额0万元，占政府采购支出总额的0%，其中：授予小微企业合同金额0万元，占政府采购支出总额的0%。</w:t>
      </w:r>
    </w:p>
    <w:p>
      <w:pPr>
        <w:autoSpaceDE w:val="0"/>
        <w:autoSpaceDN w:val="0"/>
        <w:adjustRightInd w:val="0"/>
        <w:spacing w:line="600" w:lineRule="exact"/>
        <w:ind w:firstLine="800" w:firstLineChars="25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（三）国有资产占用情况。截至201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年12月31日，本部门共有车辆</w:t>
      </w:r>
      <w:r>
        <w:rPr>
          <w:rFonts w:hint="eastAsia" w:ascii="Times New Roman" w:hAnsi="Times New Roman" w:eastAsia="仿宋_GB2312" w:cs="Times New Roman"/>
          <w:kern w:val="0"/>
          <w:sz w:val="32"/>
          <w:szCs w:val="32"/>
        </w:rPr>
        <w:t>3</w:t>
      </w:r>
      <w:r>
        <w:rPr>
          <w:rFonts w:ascii="Times New Roman" w:hAnsi="Times New Roman" w:eastAsia="仿宋_GB2312" w:cs="Times New Roman"/>
          <w:kern w:val="0"/>
          <w:sz w:val="32"/>
          <w:szCs w:val="32"/>
        </w:rPr>
        <w:t>辆</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其中，部级领导干部用车</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辆、一般公务用车</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辆、一般执法执勤用车</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辆、特种专业技术用车辆、……</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其他用车</w:t>
      </w:r>
      <w:r>
        <w:rPr>
          <w:rFonts w:hint="eastAsia" w:ascii="Times New Roman" w:hAnsi="Times New Roman" w:eastAsia="仿宋_GB2312" w:cs="Times New Roman"/>
          <w:kern w:val="0"/>
          <w:sz w:val="32"/>
          <w:szCs w:val="32"/>
        </w:rPr>
        <w:t>3</w:t>
      </w:r>
      <w:r>
        <w:rPr>
          <w:rFonts w:ascii="Times New Roman" w:hAnsi="Times New Roman" w:eastAsia="仿宋_GB2312" w:cs="Times New Roman"/>
          <w:kern w:val="0"/>
          <w:sz w:val="32"/>
          <w:szCs w:val="32"/>
        </w:rPr>
        <w:t>辆</w:t>
      </w:r>
      <w:r>
        <w:rPr>
          <w:rFonts w:hint="eastAsia" w:ascii="Times New Roman" w:hAnsi="Times New Roman" w:eastAsia="仿宋_GB2312" w:cs="Times New Roman"/>
          <w:kern w:val="0"/>
          <w:sz w:val="32"/>
          <w:szCs w:val="32"/>
        </w:rPr>
        <w:t>，其他用车主要是大型普通客车、流动舞台车</w:t>
      </w:r>
      <w:r>
        <w:rPr>
          <w:rFonts w:ascii="Times New Roman" w:hAnsi="Times New Roman" w:eastAsia="仿宋_GB2312" w:cs="Times New Roman"/>
          <w:kern w:val="0"/>
          <w:sz w:val="32"/>
          <w:szCs w:val="32"/>
        </w:rPr>
        <w:t>，单位价值50 万元以上通用设</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台（套），单价100 万元以上专用设备</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台（套）。</w:t>
      </w:r>
    </w:p>
    <w:p>
      <w:pPr>
        <w:autoSpaceDE w:val="0"/>
        <w:autoSpaceDN w:val="0"/>
        <w:adjustRightInd w:val="0"/>
        <w:spacing w:line="600" w:lineRule="exact"/>
        <w:ind w:firstLine="800" w:firstLineChars="250"/>
        <w:rPr>
          <w:rFonts w:ascii="Times New Roman" w:hAnsi="Times New Roman" w:eastAsia="仿宋_GB2312" w:cs="Times New Roman"/>
          <w:kern w:val="0"/>
          <w:sz w:val="32"/>
          <w:szCs w:val="32"/>
        </w:rPr>
      </w:pPr>
    </w:p>
    <w:p>
      <w:pPr>
        <w:autoSpaceDE w:val="0"/>
        <w:autoSpaceDN w:val="0"/>
        <w:adjustRightInd w:val="0"/>
        <w:spacing w:line="600" w:lineRule="exact"/>
        <w:ind w:firstLine="800" w:firstLineChars="250"/>
        <w:rPr>
          <w:rFonts w:ascii="Times New Roman" w:hAnsi="Times New Roman" w:eastAsia="仿宋_GB2312" w:cs="Times New Roman"/>
          <w:kern w:val="0"/>
          <w:sz w:val="32"/>
          <w:szCs w:val="32"/>
        </w:rPr>
      </w:pPr>
    </w:p>
    <w:p>
      <w:pPr>
        <w:widowControl/>
        <w:spacing w:line="600" w:lineRule="exact"/>
        <w:rPr>
          <w:rFonts w:ascii="Times New Roman" w:hAnsi="Times New Roman" w:eastAsia="黑体" w:cs="Times New Roman"/>
          <w:bCs/>
          <w:kern w:val="0"/>
          <w:sz w:val="32"/>
          <w:szCs w:val="32"/>
        </w:rPr>
      </w:pPr>
    </w:p>
    <w:p>
      <w:pPr>
        <w:widowControl/>
        <w:spacing w:line="600" w:lineRule="exact"/>
        <w:rPr>
          <w:rFonts w:ascii="Times New Roman" w:hAnsi="Times New Roman" w:eastAsia="黑体" w:cs="Times New Roman"/>
          <w:bCs/>
          <w:kern w:val="0"/>
          <w:sz w:val="32"/>
          <w:szCs w:val="32"/>
        </w:rPr>
      </w:pPr>
    </w:p>
    <w:p>
      <w:pPr>
        <w:widowControl/>
        <w:spacing w:line="600" w:lineRule="exact"/>
        <w:rPr>
          <w:rFonts w:ascii="仿宋_GB2312" w:hAnsi="Times New Roman" w:eastAsia="仿宋_GB2312" w:cs="Times New Roman"/>
          <w:sz w:val="32"/>
          <w:szCs w:val="32"/>
        </w:rPr>
      </w:pPr>
      <w:r>
        <w:rPr>
          <w:rFonts w:hint="eastAsia" w:ascii="Times New Roman" w:hAnsi="Times New Roman" w:eastAsia="黑体" w:cs="Times New Roman"/>
          <w:bCs/>
          <w:kern w:val="0"/>
          <w:sz w:val="32"/>
          <w:szCs w:val="32"/>
        </w:rPr>
        <w:t>第四部分  名词解释</w:t>
      </w:r>
    </w:p>
    <w:p>
      <w:pPr>
        <w:spacing w:line="600" w:lineRule="exact"/>
        <w:ind w:firstLine="640" w:firstLineChars="200"/>
        <w:rPr>
          <w:rFonts w:eastAsia="仿宋_GB2312"/>
          <w:kern w:val="0"/>
          <w:sz w:val="32"/>
          <w:szCs w:val="32"/>
        </w:rPr>
      </w:pPr>
      <w:r>
        <w:rPr>
          <w:rFonts w:eastAsia="仿宋_GB2312"/>
          <w:kern w:val="0"/>
          <w:sz w:val="32"/>
          <w:szCs w:val="32"/>
        </w:rPr>
        <w:t>1.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eastAsia="仿宋_GB2312"/>
          <w:kern w:val="0"/>
          <w:sz w:val="32"/>
          <w:szCs w:val="32"/>
        </w:rPr>
        <w:t>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spacing w:line="600" w:lineRule="exact"/>
        <w:rPr>
          <w:rFonts w:ascii="Times New Roman" w:hAnsi="Times New Roman" w:eastAsia="黑体" w:cs="Times New Roman"/>
          <w:sz w:val="28"/>
          <w:szCs w:val="28"/>
        </w:rPr>
      </w:pPr>
    </w:p>
    <w:p>
      <w:pPr>
        <w:spacing w:line="60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 xml:space="preserve">第五部分 </w:t>
      </w:r>
      <w:r>
        <w:rPr>
          <w:rFonts w:ascii="Times New Roman" w:hAnsi="Times New Roman" w:eastAsia="黑体" w:cs="Times New Roman"/>
          <w:sz w:val="28"/>
          <w:szCs w:val="28"/>
        </w:rPr>
        <w:t xml:space="preserve"> </w:t>
      </w:r>
      <w:r>
        <w:rPr>
          <w:rFonts w:hint="eastAsia" w:ascii="Times New Roman" w:hAnsi="Times New Roman" w:eastAsia="黑体" w:cs="Times New Roman"/>
          <w:sz w:val="28"/>
          <w:szCs w:val="28"/>
        </w:rPr>
        <w:t>公开附件</w:t>
      </w:r>
    </w:p>
    <w:p>
      <w:pPr>
        <w:spacing w:line="600" w:lineRule="exact"/>
        <w:ind w:firstLine="640" w:firstLineChars="200"/>
        <w:jc w:val="right"/>
        <w:rPr>
          <w:rFonts w:eastAsia="仿宋_GB2312"/>
          <w:bCs/>
          <w:kern w:val="0"/>
          <w:sz w:val="32"/>
          <w:szCs w:val="32"/>
        </w:rPr>
      </w:pPr>
      <w:r>
        <w:rPr>
          <w:rFonts w:hint="eastAsia" w:eastAsia="仿宋_GB2312"/>
          <w:bCs/>
          <w:kern w:val="0"/>
          <w:sz w:val="32"/>
          <w:szCs w:val="32"/>
        </w:rPr>
        <w:t>怀化市鹤城区阳戏保护传承中心</w:t>
      </w:r>
    </w:p>
    <w:p>
      <w:pPr>
        <w:spacing w:line="600" w:lineRule="exact"/>
        <w:ind w:firstLine="640" w:firstLineChars="200"/>
        <w:jc w:val="right"/>
        <w:rPr>
          <w:rFonts w:eastAsia="仿宋_GB2312"/>
          <w:kern w:val="0"/>
          <w:sz w:val="32"/>
          <w:szCs w:val="32"/>
        </w:rPr>
      </w:pPr>
      <w:r>
        <w:rPr>
          <w:rFonts w:hint="eastAsia" w:eastAsia="仿宋_GB2312"/>
          <w:kern w:val="0"/>
          <w:sz w:val="32"/>
          <w:szCs w:val="32"/>
        </w:rPr>
        <w:t>2019年9月5日</w:t>
      </w:r>
    </w:p>
    <w:p/>
    <w:sectPr>
      <w:headerReference r:id="rId5"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7</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A06F5"/>
    <w:rsid w:val="00005C98"/>
    <w:rsid w:val="00296E1E"/>
    <w:rsid w:val="002D45A0"/>
    <w:rsid w:val="00331FD8"/>
    <w:rsid w:val="00351A88"/>
    <w:rsid w:val="00421274"/>
    <w:rsid w:val="0043575F"/>
    <w:rsid w:val="00587DC3"/>
    <w:rsid w:val="00630B81"/>
    <w:rsid w:val="00681979"/>
    <w:rsid w:val="007101DF"/>
    <w:rsid w:val="00777FCA"/>
    <w:rsid w:val="00780C0D"/>
    <w:rsid w:val="00782132"/>
    <w:rsid w:val="0083788C"/>
    <w:rsid w:val="008A06F5"/>
    <w:rsid w:val="008A2E4C"/>
    <w:rsid w:val="008C2791"/>
    <w:rsid w:val="00A23F52"/>
    <w:rsid w:val="00A9398B"/>
    <w:rsid w:val="00AF301F"/>
    <w:rsid w:val="00B173E5"/>
    <w:rsid w:val="00B84620"/>
    <w:rsid w:val="00BE6DB2"/>
    <w:rsid w:val="00CF06E0"/>
    <w:rsid w:val="00DB4113"/>
    <w:rsid w:val="00E667C7"/>
    <w:rsid w:val="2C4D2D6C"/>
    <w:rsid w:val="2DB770DA"/>
    <w:rsid w:val="40E209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501</Words>
  <Characters>2859</Characters>
  <Lines>23</Lines>
  <Paragraphs>6</Paragraphs>
  <TotalTime>3</TotalTime>
  <ScaleCrop>false</ScaleCrop>
  <LinksUpToDate>false</LinksUpToDate>
  <CharactersWithSpaces>3354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2021-06-05T00:58:00Z</dcterms:created>
  <dc:creator>周亮辉 10.104.93.85</dc:creator>
  <cp:lastModifiedBy>Administrator</cp:lastModifiedBy>
  <dcterms:modified xsi:type="dcterms:W3CDTF">2021-06-06T13:16:25Z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03AC7ADBE1AE42AF83955AA6E2C143D6</vt:lpwstr>
  </property>
</Properties>
</file>