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34B" w:rsidRPr="00C3349D" w:rsidRDefault="0087234B" w:rsidP="00F50159">
      <w:pPr>
        <w:widowControl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D24CFB">
      <w:pPr>
        <w:widowControl/>
        <w:jc w:val="center"/>
        <w:rPr>
          <w:rFonts w:ascii="Times New Roman" w:eastAsia="方正小标宋_GBK" w:hAnsi="Times New Roman" w:cs="Times New Roman"/>
          <w:bCs/>
          <w:color w:val="000000" w:themeColor="text1"/>
          <w:kern w:val="0"/>
          <w:sz w:val="72"/>
          <w:szCs w:val="72"/>
        </w:rPr>
      </w:pPr>
      <w:r w:rsidRPr="00C3349D">
        <w:rPr>
          <w:rFonts w:ascii="Times New Roman" w:eastAsia="方正小标宋_GBK" w:hAnsi="Times New Roman" w:cs="Times New Roman" w:hint="eastAsia"/>
          <w:bCs/>
          <w:color w:val="000000" w:themeColor="text1"/>
          <w:kern w:val="0"/>
          <w:sz w:val="72"/>
          <w:szCs w:val="72"/>
        </w:rPr>
        <w:t>鹤城区</w:t>
      </w:r>
      <w:r w:rsidR="00ED542F" w:rsidRPr="00C3349D">
        <w:rPr>
          <w:rFonts w:ascii="Times New Roman" w:eastAsia="方正小标宋_GBK" w:hAnsi="Times New Roman" w:cs="Times New Roman" w:hint="eastAsia"/>
          <w:bCs/>
          <w:color w:val="000000" w:themeColor="text1"/>
          <w:kern w:val="0"/>
          <w:sz w:val="72"/>
          <w:szCs w:val="72"/>
        </w:rPr>
        <w:t>黄金坳镇</w:t>
      </w:r>
      <w:r w:rsidR="00076A57" w:rsidRPr="00C3349D">
        <w:rPr>
          <w:rFonts w:ascii="Times New Roman" w:eastAsia="方正小标宋_GBK" w:hAnsi="Times New Roman" w:cs="Times New Roman" w:hint="eastAsia"/>
          <w:bCs/>
          <w:color w:val="000000" w:themeColor="text1"/>
          <w:kern w:val="0"/>
          <w:sz w:val="72"/>
          <w:szCs w:val="72"/>
        </w:rPr>
        <w:t>2018</w:t>
      </w:r>
      <w:r w:rsidR="00076A57" w:rsidRPr="00C3349D">
        <w:rPr>
          <w:rFonts w:ascii="Times New Roman" w:eastAsia="方正小标宋_GBK" w:hAnsi="Times New Roman" w:cs="Times New Roman" w:hint="eastAsia"/>
          <w:bCs/>
          <w:color w:val="000000" w:themeColor="text1"/>
          <w:kern w:val="0"/>
          <w:sz w:val="72"/>
          <w:szCs w:val="72"/>
        </w:rPr>
        <w:t>年度</w:t>
      </w:r>
    </w:p>
    <w:p w:rsidR="0087234B" w:rsidRPr="00C3349D" w:rsidRDefault="00076A57">
      <w:pPr>
        <w:widowControl/>
        <w:jc w:val="center"/>
        <w:rPr>
          <w:rFonts w:ascii="Times New Roman" w:eastAsia="方正小标宋_GBK" w:hAnsi="Times New Roman" w:cs="Times New Roman"/>
          <w:bCs/>
          <w:color w:val="000000" w:themeColor="text1"/>
          <w:kern w:val="0"/>
          <w:sz w:val="72"/>
          <w:szCs w:val="72"/>
        </w:rPr>
      </w:pPr>
      <w:r w:rsidRPr="00C3349D">
        <w:rPr>
          <w:rFonts w:ascii="Times New Roman" w:eastAsia="方正小标宋_GBK" w:hAnsi="Times New Roman" w:cs="Times New Roman" w:hint="eastAsia"/>
          <w:bCs/>
          <w:color w:val="000000" w:themeColor="text1"/>
          <w:kern w:val="0"/>
          <w:sz w:val="72"/>
          <w:szCs w:val="72"/>
        </w:rPr>
        <w:t>部门决算</w:t>
      </w:r>
    </w:p>
    <w:p w:rsidR="0087234B" w:rsidRPr="00C3349D" w:rsidRDefault="0087234B" w:rsidP="00ED542F">
      <w:pPr>
        <w:widowControl/>
        <w:spacing w:beforeLines="50"/>
        <w:jc w:val="center"/>
        <w:rPr>
          <w:rFonts w:ascii="Times New Roman" w:eastAsia="楷体_GB2312" w:hAnsi="Times New Roman" w:cs="Times New Roman"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87234B">
      <w:pPr>
        <w:widowControl/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44"/>
          <w:szCs w:val="44"/>
        </w:rPr>
      </w:pPr>
    </w:p>
    <w:p w:rsidR="00F50159" w:rsidRPr="00C3349D" w:rsidRDefault="00F50159">
      <w:pPr>
        <w:widowControl/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44"/>
          <w:szCs w:val="44"/>
        </w:rPr>
      </w:pPr>
    </w:p>
    <w:p w:rsidR="00F50159" w:rsidRPr="00C3349D" w:rsidRDefault="00F50159">
      <w:pPr>
        <w:widowControl/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44"/>
          <w:szCs w:val="44"/>
        </w:rPr>
      </w:pPr>
    </w:p>
    <w:p w:rsidR="00F50159" w:rsidRPr="00C3349D" w:rsidRDefault="00F50159">
      <w:pPr>
        <w:widowControl/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44"/>
          <w:szCs w:val="44"/>
        </w:rPr>
      </w:pPr>
    </w:p>
    <w:p w:rsidR="00F50159" w:rsidRPr="00C3349D" w:rsidRDefault="00F50159">
      <w:pPr>
        <w:widowControl/>
        <w:jc w:val="center"/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44"/>
          <w:szCs w:val="44"/>
        </w:rPr>
      </w:pPr>
    </w:p>
    <w:p w:rsidR="00F50159" w:rsidRPr="00C3349D" w:rsidRDefault="00F50159">
      <w:pPr>
        <w:widowControl/>
        <w:jc w:val="center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44"/>
          <w:szCs w:val="44"/>
        </w:rPr>
      </w:pPr>
    </w:p>
    <w:p w:rsidR="0087234B" w:rsidRPr="00C3349D" w:rsidRDefault="00076A57">
      <w:pPr>
        <w:widowControl/>
        <w:jc w:val="center"/>
        <w:rPr>
          <w:rFonts w:ascii="Times New Roman" w:eastAsia="方正小标宋_GBK" w:hAnsi="Times New Roman" w:cs="Times New Roman"/>
          <w:bCs/>
          <w:color w:val="000000" w:themeColor="text1"/>
          <w:kern w:val="0"/>
          <w:sz w:val="44"/>
          <w:szCs w:val="44"/>
        </w:rPr>
      </w:pPr>
      <w:r w:rsidRPr="00C3349D">
        <w:rPr>
          <w:rFonts w:ascii="Times New Roman" w:eastAsia="方正小标宋_GBK" w:hAnsi="Times New Roman" w:cs="Times New Roman" w:hint="eastAsia"/>
          <w:bCs/>
          <w:color w:val="000000" w:themeColor="text1"/>
          <w:kern w:val="0"/>
          <w:sz w:val="44"/>
          <w:szCs w:val="44"/>
        </w:rPr>
        <w:lastRenderedPageBreak/>
        <w:t>目录</w:t>
      </w:r>
    </w:p>
    <w:p w:rsidR="0087234B" w:rsidRPr="00C3349D" w:rsidRDefault="0087234B">
      <w:pPr>
        <w:widowControl/>
        <w:rPr>
          <w:rFonts w:ascii="仿宋_GB2312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076A57">
      <w:pPr>
        <w:widowControl/>
        <w:spacing w:line="600" w:lineRule="exac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第一部分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 xml:space="preserve">  </w:t>
      </w:r>
      <w:r w:rsidR="00ED542F"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黄金坳镇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概况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一、部门职责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二、机构设置</w:t>
      </w:r>
    </w:p>
    <w:p w:rsidR="0087234B" w:rsidRPr="00C3349D" w:rsidRDefault="00076A57">
      <w:pPr>
        <w:widowControl/>
        <w:spacing w:line="600" w:lineRule="exac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第二部分</w:t>
      </w: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  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黄</w:t>
      </w:r>
      <w:r w:rsidR="00ED542F"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金坳镇</w:t>
      </w: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201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8</w:t>
      </w: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年度部门决算表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一、收入支出决算总表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二、收入决算表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三、支出决算表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四、财政拨款收入支出决算总表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五、一般公共预算财政拨款支出决算表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六、一般公共预算财政拨款基本支出决算表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七、一般公共预算财政拨款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“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三公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”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经费支出决算表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八、政府性基金预算财政拨款收入支出决算表</w:t>
      </w:r>
    </w:p>
    <w:p w:rsidR="0087234B" w:rsidRPr="00C3349D" w:rsidRDefault="00076A57">
      <w:pPr>
        <w:widowControl/>
        <w:spacing w:line="600" w:lineRule="exac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第三部分</w:t>
      </w: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 xml:space="preserve">  </w:t>
      </w:r>
      <w:r w:rsidR="00ED542F"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黄金坳镇</w:t>
      </w: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201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8</w:t>
      </w:r>
      <w:r w:rsidRPr="00C3349D"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  <w:t>年度部门决算情况说明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一、收入支出决算总体情况说明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二、收入决算情况说明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三、支出决算情况说明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四、财政拨款收入支出决算总体情况说明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五、一般公共预算财政拨款支出决算情况说明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六、一般公共预算财政拨款基本支出决算情况说明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lastRenderedPageBreak/>
        <w:t>七、一般公共预算财政拨款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“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三公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”</w:t>
      </w: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经费支出情况决算情况说明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八、预算绩效情况说明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仿宋_GB2312" w:hAnsi="Times New Roman" w:cs="Times New Roman"/>
          <w:bCs/>
          <w:color w:val="000000" w:themeColor="text1"/>
          <w:kern w:val="0"/>
          <w:sz w:val="32"/>
          <w:szCs w:val="32"/>
        </w:rPr>
        <w:t>九、其他重要事项的情况说明</w:t>
      </w:r>
    </w:p>
    <w:p w:rsidR="0087234B" w:rsidRPr="00C3349D" w:rsidRDefault="00076A57">
      <w:pPr>
        <w:widowControl/>
        <w:spacing w:line="600" w:lineRule="exact"/>
        <w:rPr>
          <w:rFonts w:ascii="Times New Roman" w:eastAsia="黑体" w:hAnsi="Times New Roman" w:cs="Times New Roman"/>
          <w:bCs/>
          <w:color w:val="000000" w:themeColor="text1"/>
          <w:kern w:val="0"/>
          <w:sz w:val="32"/>
          <w:szCs w:val="32"/>
        </w:rPr>
      </w:pP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第四部分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 xml:space="preserve">  </w:t>
      </w:r>
      <w:r w:rsidRPr="00C3349D">
        <w:rPr>
          <w:rFonts w:ascii="Times New Roman" w:eastAsia="黑体" w:hAnsi="Times New Roman" w:cs="Times New Roman" w:hint="eastAsia"/>
          <w:bCs/>
          <w:color w:val="000000" w:themeColor="text1"/>
          <w:kern w:val="0"/>
          <w:sz w:val="32"/>
          <w:szCs w:val="32"/>
        </w:rPr>
        <w:t>名称解释</w:t>
      </w: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87234B">
      <w:pPr>
        <w:widowControl/>
        <w:spacing w:line="600" w:lineRule="exact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076A57">
      <w:pPr>
        <w:widowControl/>
        <w:spacing w:line="600" w:lineRule="exact"/>
        <w:rPr>
          <w:rFonts w:ascii="宋体" w:eastAsia="宋体" w:hAnsi="宋体" w:cs="Times New Roman"/>
          <w:b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lastRenderedPageBreak/>
        <w:t>第一部分</w:t>
      </w:r>
      <w:r w:rsidRPr="00C3349D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 xml:space="preserve">  </w:t>
      </w:r>
      <w:r w:rsidRPr="00C3349D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黄</w:t>
      </w:r>
      <w:r w:rsidR="00ED542F" w:rsidRPr="00C3349D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金坳镇</w:t>
      </w:r>
      <w:r w:rsidRPr="00C3349D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概况</w:t>
      </w:r>
    </w:p>
    <w:p w:rsidR="0087234B" w:rsidRPr="00C3349D" w:rsidRDefault="00076A57">
      <w:pPr>
        <w:widowControl/>
        <w:spacing w:line="600" w:lineRule="exac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一、部门职责</w:t>
      </w:r>
    </w:p>
    <w:p w:rsidR="0087234B" w:rsidRPr="00C3349D" w:rsidRDefault="00D24CFB" w:rsidP="00D24CFB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执行本级人民代表大会的决议和上级国家行政机关的决定和命令；执行本级行政区域内的经济和社会发展计划，管理、预算本行政区域内的经济、教育、科学、文化、卫生、体育事业和财政、民政、公安、司法、计划生育等行政工作。</w:t>
      </w:r>
    </w:p>
    <w:p w:rsidR="0087234B" w:rsidRPr="00C3349D" w:rsidRDefault="00076A57">
      <w:pPr>
        <w:widowControl/>
        <w:spacing w:line="600" w:lineRule="exac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二、机构设置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及决算单位构成</w:t>
      </w:r>
    </w:p>
    <w:p w:rsidR="00D24CFB" w:rsidRPr="00C3349D" w:rsidRDefault="00076A57" w:rsidP="00D24CFB">
      <w:pPr>
        <w:widowControl/>
        <w:spacing w:line="600" w:lineRule="exact"/>
        <w:ind w:firstLineChars="198" w:firstLine="634"/>
        <w:jc w:val="left"/>
        <w:rPr>
          <w:rFonts w:ascii="宋体" w:eastAsia="宋体" w:hAnsi="宋体" w:cs="Times New Roman" w:hint="eastAsia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（一）内设机构设置。</w:t>
      </w:r>
      <w:r w:rsidR="00D24CF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黄金坳镇人民政府是财政全额拨款的行政事业单位，内设人民政府机关、财政、林业、人口与计划生育等4个预算机构。</w:t>
      </w:r>
    </w:p>
    <w:p w:rsidR="0087234B" w:rsidRPr="00C3349D" w:rsidRDefault="00076A57" w:rsidP="00D24CFB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（二）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决算单位构成。黄</w:t>
      </w:r>
      <w:r w:rsidR="00D24CF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金坳镇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年部门决算汇总公开单位构成包括：</w:t>
      </w:r>
      <w:r w:rsidR="00D24CF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黄金坳镇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本级以及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财政、林业、人口与计划生育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</w:p>
    <w:p w:rsidR="0087234B" w:rsidRPr="00875763" w:rsidRDefault="00076A57">
      <w:pPr>
        <w:widowControl/>
        <w:spacing w:line="600" w:lineRule="exact"/>
        <w:rPr>
          <w:rFonts w:ascii="宋体" w:eastAsia="宋体" w:hAnsi="宋体" w:cs="Times New Roman"/>
          <w:b/>
          <w:color w:val="000000" w:themeColor="text1"/>
          <w:sz w:val="32"/>
          <w:szCs w:val="32"/>
        </w:rPr>
      </w:pP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第二部分</w:t>
      </w: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 xml:space="preserve">  </w:t>
      </w: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黄</w:t>
      </w:r>
      <w:r w:rsidR="00B313DE"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金坳镇</w:t>
      </w: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201</w:t>
      </w: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8</w:t>
      </w: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年度部门决算表</w:t>
      </w:r>
    </w:p>
    <w:p w:rsidR="0087234B" w:rsidRPr="00C3349D" w:rsidRDefault="00076A57">
      <w:pPr>
        <w:widowControl/>
        <w:spacing w:line="600" w:lineRule="exac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(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公开表格附后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)</w:t>
      </w:r>
    </w:p>
    <w:p w:rsidR="0087234B" w:rsidRPr="00875763" w:rsidRDefault="00076A57">
      <w:pPr>
        <w:widowControl/>
        <w:spacing w:line="600" w:lineRule="exact"/>
        <w:rPr>
          <w:rFonts w:ascii="宋体" w:eastAsia="宋体" w:hAnsi="宋体" w:cs="Times New Roman"/>
          <w:b/>
          <w:color w:val="000000" w:themeColor="text1"/>
          <w:sz w:val="32"/>
          <w:szCs w:val="32"/>
        </w:rPr>
      </w:pP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第三部分</w:t>
      </w: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 xml:space="preserve">  </w:t>
      </w: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黄</w:t>
      </w:r>
      <w:r w:rsidR="00B313DE"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金坳镇</w:t>
      </w: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201</w:t>
      </w: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8</w:t>
      </w:r>
      <w:r w:rsidRPr="00875763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年度部门决算情况说明</w:t>
      </w:r>
    </w:p>
    <w:p w:rsidR="0087234B" w:rsidRPr="00C3349D" w:rsidRDefault="00076A57">
      <w:pPr>
        <w:widowControl/>
        <w:spacing w:line="600" w:lineRule="exact"/>
        <w:ind w:firstLineChars="150" w:firstLine="48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一、收入支出决算总体情况说明</w:t>
      </w:r>
    </w:p>
    <w:p w:rsidR="0087234B" w:rsidRPr="00C3349D" w:rsidRDefault="00076A57">
      <w:pPr>
        <w:widowControl/>
        <w:spacing w:line="600" w:lineRule="exact"/>
        <w:ind w:firstLineChars="346" w:firstLine="1107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年决算收入</w:t>
      </w:r>
      <w:r w:rsidR="00F5015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2266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.7</w:t>
      </w:r>
      <w:r w:rsidR="00F5015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万元，比上年减少</w:t>
      </w:r>
      <w:r w:rsidR="00F5015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1068.07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其中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财政拨款收入减少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325.01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，其他收入减少743.06万元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;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支出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2515.47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万元，比上年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增加31.11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万元，主要是基本支出增加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622.54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万元，项目支出</w:t>
      </w:r>
      <w:r w:rsidR="00484F6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较少</w:t>
      </w:r>
      <w:r w:rsidR="00F456CD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591.44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87234B">
      <w:pPr>
        <w:widowControl/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lastRenderedPageBreak/>
        <w:t>二、收入决算情况说明</w:t>
      </w:r>
    </w:p>
    <w:p w:rsidR="0087234B" w:rsidRPr="00C3349D" w:rsidRDefault="00076A57">
      <w:pPr>
        <w:snapToGrid w:val="0"/>
        <w:spacing w:line="600" w:lineRule="exact"/>
        <w:ind w:firstLineChars="400" w:firstLine="128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年决算收入</w:t>
      </w:r>
      <w:r w:rsidR="00312363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2266.78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万元。其中财政拨款收入</w:t>
      </w:r>
      <w:r w:rsidR="00312363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1628.82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</w:t>
      </w:r>
      <w:r w:rsidR="00312363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71.86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；其他收入</w:t>
      </w:r>
      <w:r w:rsidR="00312363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637.96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</w:t>
      </w:r>
      <w:r w:rsidR="00312363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28.14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三、支出决算情况说明</w:t>
      </w:r>
    </w:p>
    <w:p w:rsidR="0087234B" w:rsidRPr="00C3349D" w:rsidRDefault="00076A57">
      <w:pPr>
        <w:snapToGrid w:val="0"/>
        <w:spacing w:line="600" w:lineRule="exact"/>
        <w:ind w:firstLineChars="400" w:firstLine="1280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年决算支出</w:t>
      </w:r>
      <w:r w:rsidR="00135FED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2515.47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万元，其中基本支出</w:t>
      </w:r>
      <w:r w:rsidR="00135FED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1879.30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7</w:t>
      </w:r>
      <w:r w:rsidR="00A5663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.</w:t>
      </w:r>
      <w:r w:rsidR="00A5663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71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，项目支出</w:t>
      </w:r>
      <w:r w:rsidR="00135FED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636.16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</w:t>
      </w:r>
      <w:r w:rsidR="00A5663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25.29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四、财政拨款收入支出决算总体情况说明</w:t>
      </w:r>
    </w:p>
    <w:p w:rsidR="0087234B" w:rsidRPr="00C3349D" w:rsidRDefault="00076A57">
      <w:pPr>
        <w:widowControl/>
        <w:spacing w:line="600" w:lineRule="exact"/>
        <w:ind w:firstLineChars="396" w:firstLine="1267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年财政拨款收入</w:t>
      </w:r>
      <w:r w:rsidR="00707F6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1628.82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万元，比上年减少</w:t>
      </w:r>
      <w:r w:rsidR="00707F6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325.01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；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财政拨款支出</w:t>
      </w:r>
      <w:r w:rsidR="00707F6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1879.30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万元，比上年增加</w:t>
      </w:r>
      <w:r w:rsidR="00707F6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135.01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万元，主要是</w:t>
      </w:r>
      <w:r w:rsidR="000B094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公共服务支出增加467.75万元，社会保障和就业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支出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减少178.85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医疗卫生和计划生育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支出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减少99.41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五、一般公共预算财政拨款支出决算情况说明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（一）财政拨款支出决算总体情况。</w:t>
      </w:r>
    </w:p>
    <w:p w:rsidR="0087234B" w:rsidRPr="00C3349D" w:rsidRDefault="00076A57">
      <w:pPr>
        <w:widowControl/>
        <w:spacing w:line="600" w:lineRule="exact"/>
        <w:ind w:firstLineChars="196" w:firstLine="627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年财政拨款本年支出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1879.30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万元，占本年支出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74.71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，比上年增加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135.01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万元，主要原因是一般公共服务支出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有所增加。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（二）财政拨款支出决算结构情况。</w:t>
      </w:r>
    </w:p>
    <w:p w:rsidR="0087234B" w:rsidRPr="00C3349D" w:rsidRDefault="00076A57">
      <w:pPr>
        <w:widowControl/>
        <w:spacing w:line="600" w:lineRule="exact"/>
        <w:ind w:firstLineChars="295" w:firstLine="944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年财政拨款本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年支出</w:t>
      </w:r>
      <w:r w:rsidR="008C5D6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1879.30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万元，一般公共服务支出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1135.22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万元，占比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60.41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社会保障和就业支出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91.78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万元，占比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4.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，医疗卫生与计划生育支出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90.37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万元，占比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4.81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，节能环保支出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147.77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万元，占比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7.86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，城乡社区支出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69.00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万元，占比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3.67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，农林水支出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277.76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lastRenderedPageBreak/>
        <w:t>万元，占比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14.78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住房保障支出36.24万元，占比1.92%，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交通运输支出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16.16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万元，占比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0.</w:t>
      </w:r>
      <w:r w:rsidR="0079757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%</w:t>
      </w:r>
      <w:r w:rsidR="005A4D22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，其他支出15万元，占比0.80%。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Times New Roman" w:eastAsia="仿宋_GB2312" w:hAnsi="Times New Roman" w:cs="Times New Roman"/>
          <w:b/>
          <w:bCs/>
          <w:color w:val="000000" w:themeColor="text1"/>
          <w:kern w:val="0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（三）财政拨款支出决算具体情况。</w:t>
      </w:r>
    </w:p>
    <w:p w:rsidR="0087234B" w:rsidRPr="00C3349D" w:rsidRDefault="00076A57">
      <w:pPr>
        <w:widowControl/>
        <w:ind w:firstLineChars="300" w:firstLine="96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年财政拨款本年支出</w:t>
      </w:r>
      <w:r w:rsidR="008C188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1879.30万元，比预算数减少338.34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万元，其中人员经费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</w:t>
      </w:r>
      <w:r w:rsidR="008C188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278.7</w:t>
      </w:r>
      <w:r w:rsidR="008838D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万元，日常公用经费增加</w:t>
      </w:r>
      <w:r w:rsidR="008C188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337.5</w:t>
      </w:r>
      <w:r w:rsidR="008838D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万元，项目支出减少</w:t>
      </w:r>
      <w:r w:rsidR="008C1889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954.64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六、一般公共预算财政拨款基本支出决算情况说明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年基本支出</w:t>
      </w:r>
      <w:r w:rsidR="006E559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1879.30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万元，人员经费支出</w:t>
      </w:r>
      <w:r w:rsidR="00422EB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1184.61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万元，其中工资福利支出</w:t>
      </w:r>
      <w:r w:rsidR="006E559F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854.56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万元，对家庭和个人的补助支出</w:t>
      </w:r>
      <w:r w:rsidR="00422EB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330.05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</w:t>
      </w:r>
      <w:r w:rsidR="00422EB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；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公用经费支</w:t>
      </w:r>
      <w:r w:rsidR="00422EB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694.69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万元，其中商品服务支出</w:t>
      </w:r>
      <w:r w:rsidR="00422EB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685.97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万元，其他资本性支出</w:t>
      </w:r>
      <w:r w:rsidR="00422EBB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8.72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七、一般公共预算财政拨款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“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三公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”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经费支出决算情况说明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（一）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“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三公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”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经费财政拨款支出决算总体情况说明。</w:t>
      </w:r>
    </w:p>
    <w:p w:rsidR="0087234B" w:rsidRPr="00C3349D" w:rsidRDefault="00076A57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201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 xml:space="preserve"> 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“三公”经费共计</w:t>
      </w:r>
      <w:r w:rsidR="00C1461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6.54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万元，均用于公务用车运行费和</w:t>
      </w:r>
      <w:r w:rsidR="00C1461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</w:p>
    <w:p w:rsidR="0087234B" w:rsidRPr="00C3349D" w:rsidRDefault="00076A57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比上年</w:t>
      </w:r>
      <w:r w:rsidR="00430CA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增加0.29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万元，其中公务用车运行维护费</w:t>
      </w:r>
      <w:r w:rsidR="00430CA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增加0.89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万元，公务接待费减少</w:t>
      </w:r>
      <w:r w:rsidR="00430CAA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0.6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比预算数减少</w:t>
      </w:r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33.88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万元，其中公务用车运行费减少</w:t>
      </w:r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13.46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万元，公务接待费减少</w:t>
      </w:r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20.42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lastRenderedPageBreak/>
        <w:t>公车改革后公务用车运行费自然锐减，及根据《中央八项规定》及《党政机关厉行节约反对浪费条例》的精神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年无公务接待。</w:t>
      </w:r>
    </w:p>
    <w:p w:rsidR="0087234B" w:rsidRPr="00C3349D" w:rsidRDefault="00076A57">
      <w:pPr>
        <w:widowControl/>
        <w:spacing w:line="600" w:lineRule="exact"/>
        <w:ind w:firstLineChars="250" w:firstLine="80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（二）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“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三公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”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经费财政拨款支出决算具体情况说明。</w:t>
      </w:r>
    </w:p>
    <w:p w:rsidR="0087234B" w:rsidRPr="00C3349D" w:rsidRDefault="00076A57" w:rsidP="008F2B25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201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年因公出国（境）费支出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元，公务用车运行费</w:t>
      </w:r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6.54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万元，保有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车辆</w:t>
      </w:r>
      <w:bookmarkStart w:id="0" w:name="_GoBack"/>
      <w:bookmarkEnd w:id="0"/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辆，公务接待费</w:t>
      </w:r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八、政府性基金预算收入支出决算情况</w:t>
      </w:r>
    </w:p>
    <w:p w:rsidR="0087234B" w:rsidRPr="00C3349D" w:rsidRDefault="00076A57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年政府性基金收入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万元，支出</w:t>
      </w:r>
      <w:r w:rsidR="008F2B25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15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九、关于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201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年度预算绩效情况说明</w:t>
      </w:r>
    </w:p>
    <w:p w:rsidR="0087234B" w:rsidRPr="00C3349D" w:rsidRDefault="00076A57">
      <w:pPr>
        <w:widowControl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2018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年黄</w:t>
      </w:r>
      <w:r w:rsidR="00B313DE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金坳镇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执行了本级人民代表大会的决议和上级国家行政机关的决定和命令；执行了本级行政区域内的经济和社会发展计划；管理了本行政区域的经济、教育、科学、文化、卫生、体育事业和财政、民政、公安、司法、计划生育等行政工作。</w:t>
      </w:r>
    </w:p>
    <w:p w:rsidR="0087234B" w:rsidRPr="00C3349D" w:rsidRDefault="00076A57">
      <w:pPr>
        <w:widowControl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十、其他重要事项</w:t>
      </w:r>
    </w:p>
    <w:p w:rsidR="0087234B" w:rsidRPr="00C3349D" w:rsidRDefault="00076A57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（一）机关运行经费支出情况。本部门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201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年度机关运行经费支出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685.96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万元，比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年初预算数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328.85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万元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主要原因是：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办公费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58.33</w:t>
      </w:r>
      <w:r w:rsidR="00DF222C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，维修（护）费增加5.36万元，劳务费增加212.88，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印刷费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增加63.01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万元，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差旅费减少2.3万元，公务接待费减少20.4万元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。</w:t>
      </w:r>
    </w:p>
    <w:p w:rsidR="0087234B" w:rsidRPr="00C3349D" w:rsidRDefault="00076A57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（二）政府采购支出情况。本部门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201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 xml:space="preserve"> 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年度政府采购支出总额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万元。</w:t>
      </w:r>
    </w:p>
    <w:p w:rsidR="0087234B" w:rsidRPr="00C3349D" w:rsidRDefault="00076A57">
      <w:pPr>
        <w:autoSpaceDE w:val="0"/>
        <w:autoSpaceDN w:val="0"/>
        <w:adjustRightInd w:val="0"/>
        <w:spacing w:line="600" w:lineRule="exact"/>
        <w:ind w:firstLineChars="250" w:firstLine="800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lastRenderedPageBreak/>
        <w:t>（三）国有资产占用情况。截至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201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8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年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 xml:space="preserve">12 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月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 xml:space="preserve">31 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日，本部门共有车辆</w:t>
      </w:r>
      <w:r w:rsidR="008067F1"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</w:t>
      </w:r>
      <w:r w:rsidR="00664B55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辆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；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 xml:space="preserve">50 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万元以上通用设备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（套），单价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 xml:space="preserve">100 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万元以上专用设备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0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台（套）</w:t>
      </w:r>
      <w:r w:rsidRPr="00C3349D">
        <w:rPr>
          <w:rFonts w:ascii="宋体" w:eastAsia="宋体" w:hAnsi="宋体" w:cs="Times New Roman"/>
          <w:color w:val="000000" w:themeColor="text1"/>
          <w:sz w:val="32"/>
          <w:szCs w:val="32"/>
        </w:rPr>
        <w:t>。</w:t>
      </w:r>
    </w:p>
    <w:p w:rsidR="0087234B" w:rsidRPr="00875763" w:rsidRDefault="00076A57">
      <w:pPr>
        <w:widowControl/>
        <w:spacing w:line="600" w:lineRule="exact"/>
        <w:rPr>
          <w:rFonts w:ascii="宋体" w:eastAsia="宋体" w:hAnsi="宋体" w:cs="Times New Roman"/>
          <w:b/>
          <w:color w:val="000000" w:themeColor="text1"/>
          <w:sz w:val="32"/>
          <w:szCs w:val="32"/>
        </w:rPr>
      </w:pP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第四部分</w:t>
      </w: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 xml:space="preserve">  </w:t>
      </w:r>
      <w:r w:rsidRPr="00875763">
        <w:rPr>
          <w:rFonts w:ascii="宋体" w:eastAsia="宋体" w:hAnsi="宋体" w:cs="Times New Roman" w:hint="eastAsia"/>
          <w:b/>
          <w:color w:val="000000" w:themeColor="text1"/>
          <w:sz w:val="32"/>
          <w:szCs w:val="32"/>
        </w:rPr>
        <w:t>名词解释</w:t>
      </w:r>
    </w:p>
    <w:p w:rsidR="0087234B" w:rsidRPr="00C3349D" w:rsidRDefault="00076A57">
      <w:pPr>
        <w:autoSpaceDE w:val="0"/>
        <w:autoSpaceDN w:val="0"/>
        <w:adjustRightInd w:val="0"/>
        <w:ind w:firstLineChars="200" w:firstLine="640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1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、机关运行经费：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 w:rsidR="0087234B" w:rsidRPr="00C3349D" w:rsidRDefault="00076A57">
      <w:pPr>
        <w:autoSpaceDE w:val="0"/>
        <w:autoSpaceDN w:val="0"/>
        <w:adjustRightInd w:val="0"/>
        <w:ind w:firstLineChars="200" w:firstLine="640"/>
        <w:jc w:val="left"/>
        <w:rPr>
          <w:rFonts w:ascii="宋体" w:eastAsia="宋体" w:hAnsi="宋体" w:cs="Times New Roman"/>
          <w:color w:val="000000" w:themeColor="text1"/>
          <w:sz w:val="32"/>
          <w:szCs w:val="32"/>
        </w:rPr>
      </w:pP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2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、“三公经费”：</w:t>
      </w:r>
      <w:r w:rsidRPr="00C3349D">
        <w:rPr>
          <w:rFonts w:ascii="宋体" w:eastAsia="宋体" w:hAnsi="宋体" w:cs="Times New Roman" w:hint="eastAsia"/>
          <w:color w:val="000000" w:themeColor="text1"/>
          <w:sz w:val="32"/>
          <w:szCs w:val="32"/>
        </w:rPr>
        <w:t>纳入财政预算管理的“三公”经费，是指用一般公共预算拨款安排的公务接待费、公务用车购置费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 w:rsidR="0087234B" w:rsidRPr="00C3349D" w:rsidRDefault="0087234B">
      <w:pPr>
        <w:spacing w:line="600" w:lineRule="exact"/>
        <w:rPr>
          <w:rFonts w:ascii="Times New Roman" w:eastAsia="黑体" w:hAnsi="Times New Roman" w:cs="Times New Roman"/>
          <w:color w:val="000000" w:themeColor="text1"/>
          <w:sz w:val="28"/>
          <w:szCs w:val="28"/>
        </w:rPr>
      </w:pPr>
    </w:p>
    <w:p w:rsidR="0087234B" w:rsidRPr="00C3349D" w:rsidRDefault="0087234B">
      <w:pPr>
        <w:rPr>
          <w:color w:val="000000" w:themeColor="text1"/>
        </w:rPr>
      </w:pPr>
    </w:p>
    <w:sectPr w:rsidR="0087234B" w:rsidRPr="00C3349D" w:rsidSect="008723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57" w:rsidRDefault="00076A57" w:rsidP="0087234B">
      <w:r>
        <w:separator/>
      </w:r>
    </w:p>
  </w:endnote>
  <w:endnote w:type="continuationSeparator" w:id="0">
    <w:p w:rsidR="00076A57" w:rsidRDefault="00076A57" w:rsidP="00872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4B" w:rsidRDefault="0087234B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4B" w:rsidRDefault="00076A57">
    <w:pPr>
      <w:pStyle w:val="a4"/>
      <w:ind w:firstLine="482"/>
      <w:jc w:val="center"/>
    </w:pPr>
    <w:r>
      <w:rPr>
        <w:rFonts w:hint="eastAsia"/>
        <w:b/>
        <w:sz w:val="24"/>
        <w:szCs w:val="24"/>
      </w:rPr>
      <w:t>－</w:t>
    </w:r>
    <w:r w:rsidR="0087234B"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>PAGE</w:instrText>
    </w:r>
    <w:r w:rsidR="0087234B">
      <w:rPr>
        <w:rFonts w:ascii="Arial" w:hAnsi="Arial" w:cs="Arial"/>
        <w:b/>
        <w:sz w:val="21"/>
        <w:szCs w:val="21"/>
      </w:rPr>
      <w:fldChar w:fldCharType="separate"/>
    </w:r>
    <w:r w:rsidR="00DF222C">
      <w:rPr>
        <w:rFonts w:ascii="Arial" w:hAnsi="Arial" w:cs="Arial"/>
        <w:b/>
        <w:noProof/>
        <w:sz w:val="21"/>
        <w:szCs w:val="21"/>
      </w:rPr>
      <w:t>6</w:t>
    </w:r>
    <w:r w:rsidR="0087234B"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4B" w:rsidRDefault="0087234B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57" w:rsidRDefault="00076A57" w:rsidP="0087234B">
      <w:r>
        <w:separator/>
      </w:r>
    </w:p>
  </w:footnote>
  <w:footnote w:type="continuationSeparator" w:id="0">
    <w:p w:rsidR="00076A57" w:rsidRDefault="00076A57" w:rsidP="00872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4B" w:rsidRDefault="0087234B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4B" w:rsidRDefault="0087234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34B" w:rsidRDefault="0087234B">
    <w:pPr>
      <w:pStyle w:val="a5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4A8E"/>
    <w:rsid w:val="0000396C"/>
    <w:rsid w:val="00014F8D"/>
    <w:rsid w:val="0002580F"/>
    <w:rsid w:val="00045381"/>
    <w:rsid w:val="00046FDA"/>
    <w:rsid w:val="00053B5E"/>
    <w:rsid w:val="00063E5A"/>
    <w:rsid w:val="00067E96"/>
    <w:rsid w:val="00071237"/>
    <w:rsid w:val="000722E1"/>
    <w:rsid w:val="00076A57"/>
    <w:rsid w:val="000B094B"/>
    <w:rsid w:val="000B0A22"/>
    <w:rsid w:val="000D6264"/>
    <w:rsid w:val="000D67F9"/>
    <w:rsid w:val="000D734F"/>
    <w:rsid w:val="000E0EFD"/>
    <w:rsid w:val="000F5B48"/>
    <w:rsid w:val="0010547A"/>
    <w:rsid w:val="001126DE"/>
    <w:rsid w:val="00121BEB"/>
    <w:rsid w:val="00121CF7"/>
    <w:rsid w:val="001313C1"/>
    <w:rsid w:val="0013198D"/>
    <w:rsid w:val="00135FED"/>
    <w:rsid w:val="001374CC"/>
    <w:rsid w:val="0014319B"/>
    <w:rsid w:val="001462D0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75D34"/>
    <w:rsid w:val="00280052"/>
    <w:rsid w:val="002831E7"/>
    <w:rsid w:val="0028744E"/>
    <w:rsid w:val="00287575"/>
    <w:rsid w:val="002C78C8"/>
    <w:rsid w:val="002E53F4"/>
    <w:rsid w:val="002F06C2"/>
    <w:rsid w:val="002F3363"/>
    <w:rsid w:val="002F7152"/>
    <w:rsid w:val="00302072"/>
    <w:rsid w:val="00312363"/>
    <w:rsid w:val="00312528"/>
    <w:rsid w:val="0032659A"/>
    <w:rsid w:val="003308AE"/>
    <w:rsid w:val="00331212"/>
    <w:rsid w:val="00331416"/>
    <w:rsid w:val="003368E2"/>
    <w:rsid w:val="00342ACE"/>
    <w:rsid w:val="0034481E"/>
    <w:rsid w:val="00366933"/>
    <w:rsid w:val="003946BD"/>
    <w:rsid w:val="003B595F"/>
    <w:rsid w:val="003B62C4"/>
    <w:rsid w:val="003C05F5"/>
    <w:rsid w:val="003C0E07"/>
    <w:rsid w:val="003C55FC"/>
    <w:rsid w:val="003D12D8"/>
    <w:rsid w:val="003D6D54"/>
    <w:rsid w:val="003E6AD9"/>
    <w:rsid w:val="003E6C98"/>
    <w:rsid w:val="003F0B3B"/>
    <w:rsid w:val="00404E19"/>
    <w:rsid w:val="004136F5"/>
    <w:rsid w:val="00422EBB"/>
    <w:rsid w:val="0042466C"/>
    <w:rsid w:val="00427E6F"/>
    <w:rsid w:val="00430CAA"/>
    <w:rsid w:val="004428B6"/>
    <w:rsid w:val="00443EB8"/>
    <w:rsid w:val="00445114"/>
    <w:rsid w:val="00446B1E"/>
    <w:rsid w:val="00456DB2"/>
    <w:rsid w:val="004663EB"/>
    <w:rsid w:val="00474309"/>
    <w:rsid w:val="00484F6F"/>
    <w:rsid w:val="004908FF"/>
    <w:rsid w:val="00490C44"/>
    <w:rsid w:val="00490D3D"/>
    <w:rsid w:val="004A03D3"/>
    <w:rsid w:val="004A1BC1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4D22"/>
    <w:rsid w:val="005A750C"/>
    <w:rsid w:val="005B0C2A"/>
    <w:rsid w:val="005B7510"/>
    <w:rsid w:val="005C09FA"/>
    <w:rsid w:val="005C6820"/>
    <w:rsid w:val="005D2748"/>
    <w:rsid w:val="005D3D52"/>
    <w:rsid w:val="005E7021"/>
    <w:rsid w:val="005F2BCA"/>
    <w:rsid w:val="006266A6"/>
    <w:rsid w:val="006500DF"/>
    <w:rsid w:val="00653982"/>
    <w:rsid w:val="00655CE1"/>
    <w:rsid w:val="00655FC1"/>
    <w:rsid w:val="00664B55"/>
    <w:rsid w:val="00674220"/>
    <w:rsid w:val="00675927"/>
    <w:rsid w:val="006805FF"/>
    <w:rsid w:val="006915FE"/>
    <w:rsid w:val="006C4007"/>
    <w:rsid w:val="006E4423"/>
    <w:rsid w:val="006E559F"/>
    <w:rsid w:val="006F082A"/>
    <w:rsid w:val="007009FC"/>
    <w:rsid w:val="007022E9"/>
    <w:rsid w:val="00706B1F"/>
    <w:rsid w:val="00707F65"/>
    <w:rsid w:val="00713E89"/>
    <w:rsid w:val="0072314F"/>
    <w:rsid w:val="00727BF3"/>
    <w:rsid w:val="00742295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9757E"/>
    <w:rsid w:val="007A2DC2"/>
    <w:rsid w:val="007B0008"/>
    <w:rsid w:val="007B443C"/>
    <w:rsid w:val="007B4E49"/>
    <w:rsid w:val="007D0245"/>
    <w:rsid w:val="007D620F"/>
    <w:rsid w:val="007D7671"/>
    <w:rsid w:val="007F1231"/>
    <w:rsid w:val="007F6521"/>
    <w:rsid w:val="00802E9B"/>
    <w:rsid w:val="008067F1"/>
    <w:rsid w:val="00823D36"/>
    <w:rsid w:val="00825C8A"/>
    <w:rsid w:val="00842795"/>
    <w:rsid w:val="00860953"/>
    <w:rsid w:val="00863D3A"/>
    <w:rsid w:val="00866C97"/>
    <w:rsid w:val="0087234B"/>
    <w:rsid w:val="008727A8"/>
    <w:rsid w:val="00875763"/>
    <w:rsid w:val="0087620B"/>
    <w:rsid w:val="00877367"/>
    <w:rsid w:val="008838DE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C1889"/>
    <w:rsid w:val="008C5D6A"/>
    <w:rsid w:val="008E39E5"/>
    <w:rsid w:val="008F2B25"/>
    <w:rsid w:val="008F3807"/>
    <w:rsid w:val="008F7BE8"/>
    <w:rsid w:val="00902D71"/>
    <w:rsid w:val="009138F9"/>
    <w:rsid w:val="00926A56"/>
    <w:rsid w:val="0093185E"/>
    <w:rsid w:val="00955403"/>
    <w:rsid w:val="009639EA"/>
    <w:rsid w:val="00965253"/>
    <w:rsid w:val="009664AF"/>
    <w:rsid w:val="00980BD5"/>
    <w:rsid w:val="009829F6"/>
    <w:rsid w:val="009D4755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56631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13DE"/>
    <w:rsid w:val="00B355BF"/>
    <w:rsid w:val="00B46589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461E"/>
    <w:rsid w:val="00C1573F"/>
    <w:rsid w:val="00C16682"/>
    <w:rsid w:val="00C17609"/>
    <w:rsid w:val="00C268CE"/>
    <w:rsid w:val="00C3349D"/>
    <w:rsid w:val="00C359CB"/>
    <w:rsid w:val="00C42BAD"/>
    <w:rsid w:val="00C45BA6"/>
    <w:rsid w:val="00C52A07"/>
    <w:rsid w:val="00C82E51"/>
    <w:rsid w:val="00CA71E9"/>
    <w:rsid w:val="00CC196A"/>
    <w:rsid w:val="00CD61FA"/>
    <w:rsid w:val="00CE4DDF"/>
    <w:rsid w:val="00D13682"/>
    <w:rsid w:val="00D24CFB"/>
    <w:rsid w:val="00D255AE"/>
    <w:rsid w:val="00D35238"/>
    <w:rsid w:val="00D42FE2"/>
    <w:rsid w:val="00D45173"/>
    <w:rsid w:val="00D45F4A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222C"/>
    <w:rsid w:val="00DF4BBF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D542F"/>
    <w:rsid w:val="00EF0B41"/>
    <w:rsid w:val="00F0012A"/>
    <w:rsid w:val="00F006CE"/>
    <w:rsid w:val="00F075F4"/>
    <w:rsid w:val="00F456CD"/>
    <w:rsid w:val="00F50159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046443EB"/>
    <w:rsid w:val="1BBB60F6"/>
    <w:rsid w:val="56260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4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8723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8723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8723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87234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87234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87234B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8067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427</Words>
  <Characters>2439</Characters>
  <Application>Microsoft Office Word</Application>
  <DocSecurity>0</DocSecurity>
  <Lines>20</Lines>
  <Paragraphs>5</Paragraphs>
  <ScaleCrop>false</ScaleCrop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周亮辉 10.104.93.85</dc:creator>
  <cp:lastModifiedBy>xbany</cp:lastModifiedBy>
  <cp:revision>33</cp:revision>
  <dcterms:created xsi:type="dcterms:W3CDTF">2019-09-09T14:12:00Z</dcterms:created>
  <dcterms:modified xsi:type="dcterms:W3CDTF">2019-09-17T07:18:00Z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