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72"/>
          <w:szCs w:val="72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  <w:lang w:val="en-US" w:eastAsia="zh-CN"/>
        </w:rPr>
        <w:t>鹤城区河西街道办事处</w:t>
      </w:r>
      <w:r>
        <w:rPr>
          <w:rFonts w:hint="eastAsia" w:ascii="Times New Roman" w:hAnsi="Times New Roman" w:eastAsia="方正小标宋_GBK" w:cs="Times New Roman"/>
          <w:bCs/>
          <w:kern w:val="0"/>
          <w:sz w:val="72"/>
          <w:szCs w:val="72"/>
        </w:rPr>
        <w:t>2018年度部门决算</w:t>
      </w: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</w:pPr>
    </w:p>
    <w:p>
      <w:pPr>
        <w:widowControl/>
        <w:jc w:val="center"/>
        <w:rPr>
          <w:rFonts w:ascii="Times New Roman" w:hAnsi="Times New Roman" w:eastAsia="方正小标宋_GBK" w:cs="Times New Roman"/>
          <w:bCs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</w:rPr>
        <w:t>目录</w:t>
      </w:r>
    </w:p>
    <w:p>
      <w:pPr>
        <w:widowControl/>
        <w:rPr>
          <w:rFonts w:ascii="仿宋_GB2312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 xml:space="preserve">第一部分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河西街道办事处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单位概况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河西街道办事处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七、一般公共预算财政拨款“三公”经费支出决算表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八、政府性基金预算财政拨款收入支出决算表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河西街道办事处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七、一般公共预算财政拨款“三公”经费支出情况决算情况说明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八、预算绩效情况说明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九、其他重要事项的情况说明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名称解释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第一部分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河西街道办事处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单位概况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一、部门职责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河西街道办事处在区委区政府正确领导下，负责承办政府各职能部门在本辖区开展的各项行政事业性事务；负责办事处社会经济发展工作；负责落实党中央国务院的一系列惠民政策工作，负责做好与办事处群众利益相关的社会保障、劳务输出、社会稳定、计划生育、优抚救济、社区自治、农业补助等工作，办理办事处的公益事业性工作。</w:t>
      </w:r>
    </w:p>
    <w:p>
      <w:pPr>
        <w:widowControl/>
        <w:spacing w:line="600" w:lineRule="exact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二、机构设置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及决算单位构成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（一）内设机构设置。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鹤城区河西街道办事处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内设机构包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括：河西街道办事处机关、河西街道办事处事业、河西计生办、河西林业机构、河西财政所、河西社区财务管理办公室。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（二）决算单位构成。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鹤城区河西街道办事处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2018年部门决算汇总公开单位构成包括：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鹤城区河西街道办事处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本级以及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河西财政所、河西社区财务管理办公室。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第二部分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河西街道办事处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年度部门决算表</w:t>
      </w:r>
    </w:p>
    <w:p>
      <w:pPr>
        <w:widowControl/>
        <w:spacing w:line="600" w:lineRule="exact"/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(公开表格附后)</w:t>
      </w:r>
    </w:p>
    <w:p>
      <w:pPr>
        <w:widowControl/>
        <w:spacing w:line="600" w:lineRule="exact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 xml:space="preserve">第三部分  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lang w:val="en-US" w:eastAsia="zh-CN"/>
        </w:rPr>
        <w:t>河西街道办事处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黑体" w:cs="Times New Roman"/>
          <w:bCs/>
          <w:kern w:val="0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480" w:firstLineChars="150"/>
        <w:rPr>
          <w:rFonts w:ascii="Times New Roman" w:hAnsi="Times New Roman" w:eastAsia="黑体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一、收入支出决算总体情况说明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年填报部门决算收入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1024.76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1259.29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决算收入较上年减少258.41万元，主要变动原因为2017年结转资金较多，收入减少。决算支出增加73.55万元，主要变动原因为基本支出增加。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二、收入决算情况说明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年填报部门决算收入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1024.76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万元，其中财政拨款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941.62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占91.89%，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其他收入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83.14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占8.11%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三、支出决算情况说明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年填报部门决算支出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1259.29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万元，其中基本支出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1102.46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占87.55%，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项目支出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156.83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占12.45%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四、财政拨款收入支出决算总体情况说明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年填报部门决算财政拨款收入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941.62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比上年决算数减少201.83万元，主要原因是2017年结存资金较多，收入减少。财政拨款收入支出1168.69，比上年增加198.3万元，主要为社会保障和就业支出增加45.11万元，医疗卫生与计划生育支出增加10.29万元，城乡社区支出增加96.85万元，农林水利支出增加40.3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五、一般公共预算财政拨款支出决算情况说明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（一）财政拨款支出决算总体情况。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年财政拨款本年支出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1150.75万元。占比91.38%。比上年增加181.08万元。主要原因是工资福利支出增加153.8万元，对个人和家庭的补助支出增加86.24万元，商品和服务支出减少61.72万元。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（二）财政拨款支出决算结构情况。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年财政拨款本年支出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1150.75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其中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一般公共服务支出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403.08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35.03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公共安全支出3.75万元，占比0.33%；文化体育与传媒支出0.11万元，占比0.01%；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社会保障和就业支出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143.82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12.5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医疗卫生与计划生育支出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82.24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7.15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节能环保支出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6.16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0.53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城乡社区支出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351.47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30.54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农林水支出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157.12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13.65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交通运输支出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万元，占比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0.26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（三）财政拨款支出决算具体情况。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年财政拨款本年支出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1150.75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基本支出为1001.92万元，其中人员经费850.11万元，日常公用经费151.81万元，较上年人员经费增加220.09万元，日常公用经费减少45.83万元；项目支出为148.83万元，较上年增加6.1万元。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六、一般公共预算财政拨款基本支出决算情况说明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年基本支出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1001.92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万元，人员经费支出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850.11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万元，其中工资福利支出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686.25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万元，对家庭和个人的补助支出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163.86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万元，公用经费支出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151.81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万元，其中商品服务支出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144.57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万元，其他资本性支出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7.24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。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七、一般公共预算财政拨款“三公”经费支出决算情况说明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（一）“三公”经费财政拨款支出决算总体情况说明。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年 “三公”经费共计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4.95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其中公务用车运行维护费4.9万元，公务接待费0.05万元。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比上年减少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2.25万元，其中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公务用车运行费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2.3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万元，公务接待费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增加0.05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比预算数减少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18.06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万元，其中公务用车运行费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2.1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万元，公务接待费减少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15.96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公车改革后公务用车运行费自然锐减，及根据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《中央八项规定》及《党政机关厉行节约反对浪费条例》的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精神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2018年公务接待严格按照标准实施。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（二）“三公”经费财政拨款支出决算具体情况说明。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年因公出国（境）费支出0元，公务用车运行费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4.9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万元，保有量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辆，公务接待费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0.05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接待批次2次，接待人数15人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八、政府性基金预算收入支出决算情况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01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年政府性基金收入0万元，支出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6.28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九、关于201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bCs/>
          <w:kern w:val="0"/>
          <w:sz w:val="32"/>
          <w:szCs w:val="32"/>
        </w:rPr>
        <w:t>年度预算绩效情况说明</w:t>
      </w:r>
    </w:p>
    <w:p>
      <w:pPr>
        <w:widowControl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201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lang w:val="en-US" w:eastAsia="zh-CN"/>
        </w:rPr>
        <w:t>鹤城区河西街道办事处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</w:rPr>
        <w:t>执行了本级人民代表大会的决议和上级国家行政机关的决定和命令；执行了本级行政区域内的经济和社会发展计划；管理了本行政区域的经济、教育、科学、文化、卫生、体育事业和财政、民政、公安、司法、计划生育等行政工作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根据年初预算资金合理安排部署了全乡防汛抗旱、森林防火、计生迎检、综治民调、</w:t>
      </w:r>
      <w:r>
        <w:rPr>
          <w:rFonts w:hint="eastAsia" w:ascii="仿宋" w:hAnsi="仿宋" w:eastAsia="仿宋"/>
          <w:sz w:val="32"/>
          <w:szCs w:val="32"/>
          <w:lang w:eastAsia="zh-CN"/>
        </w:rPr>
        <w:t>猪瘟防控</w:t>
      </w:r>
      <w:r>
        <w:rPr>
          <w:rFonts w:hint="eastAsia" w:ascii="仿宋" w:hAnsi="仿宋" w:eastAsia="仿宋"/>
          <w:sz w:val="32"/>
          <w:szCs w:val="32"/>
        </w:rPr>
        <w:t>等各项工作。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十、其他重要事项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（一）机关运行经费支出情况。本部门201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年度机关运行经费支出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183.88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万元，比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年初预算数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减少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85.7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 xml:space="preserve"> 万元，降低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31.79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%。主要原因是：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办公费减少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21.09万元，维修（护）费减少10.33万元，公务用车运行费减少2.1万元，公务接待费减少15.96万元，劳务费减少18.71万元，其他商品和服务支出12.27万元。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（二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政府采购支出情况。本部门201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无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政府采购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（三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国有资产占用情况。截至201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年12月31日，本部门共有车辆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辆，其中，一般公务用车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辆、一般执法执勤用车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；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单位价值50万元以上通用设备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台（套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），</w:t>
      </w:r>
      <w:bookmarkStart w:id="0" w:name="_GoBack"/>
      <w:bookmarkEnd w:id="0"/>
      <w:r>
        <w:rPr>
          <w:rFonts w:ascii="Times New Roman" w:hAnsi="Times New Roman" w:eastAsia="仿宋_GB2312" w:cs="Times New Roman"/>
          <w:kern w:val="0"/>
          <w:sz w:val="32"/>
          <w:szCs w:val="32"/>
        </w:rPr>
        <w:t>单价100万元以上专用设备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台（套）。</w:t>
      </w:r>
    </w:p>
    <w:p>
      <w:pPr>
        <w:widowControl/>
        <w:spacing w:line="60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</w:rPr>
        <w:t>第四部分  名词解释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utoSpaceDE w:val="0"/>
        <w:autoSpaceDN w:val="0"/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、“三公经费”：纳入财政预算管理的“三公”经费，是指用一般公共预算拨款安排的公务接待费、公务用车购置费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</w:r>
    </w:p>
    <w:p>
      <w:pPr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黑体" w:cs="Times New Roman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482"/>
      <w:jc w:val="center"/>
    </w:pPr>
    <w:r>
      <w:rPr>
        <w:rFonts w:hint="eastAsia"/>
        <w:b/>
        <w:sz w:val="24"/>
        <w:szCs w:val="24"/>
      </w:rPr>
      <w:t>－</w:t>
    </w:r>
    <w:r>
      <w:rPr>
        <w:rFonts w:ascii="Arial" w:hAnsi="Arial" w:cs="Arial"/>
        <w:b/>
        <w:sz w:val="21"/>
        <w:szCs w:val="21"/>
      </w:rPr>
      <w:fldChar w:fldCharType="begin"/>
    </w:r>
    <w:r>
      <w:rPr>
        <w:rFonts w:ascii="Arial" w:hAnsi="Arial" w:cs="Arial"/>
        <w:b/>
        <w:sz w:val="21"/>
        <w:szCs w:val="21"/>
      </w:rPr>
      <w:instrText xml:space="preserve">PAGE</w:instrText>
    </w:r>
    <w:r>
      <w:rPr>
        <w:rFonts w:ascii="Arial" w:hAnsi="Arial" w:cs="Arial"/>
        <w:b/>
        <w:sz w:val="21"/>
        <w:szCs w:val="21"/>
      </w:rPr>
      <w:fldChar w:fldCharType="separate"/>
    </w:r>
    <w:r>
      <w:rPr>
        <w:rFonts w:ascii="Arial" w:hAnsi="Arial" w:cs="Arial"/>
        <w:b/>
        <w:sz w:val="21"/>
        <w:szCs w:val="21"/>
      </w:rPr>
      <w:t>10</w:t>
    </w:r>
    <w:r>
      <w:rPr>
        <w:rFonts w:ascii="Arial" w:hAnsi="Arial" w:cs="Arial"/>
        <w:b/>
        <w:sz w:val="21"/>
        <w:szCs w:val="21"/>
      </w:rPr>
      <w:fldChar w:fldCharType="end"/>
    </w:r>
    <w:r>
      <w:rPr>
        <w:rFonts w:hint="eastAsia"/>
        <w:b/>
        <w:sz w:val="24"/>
        <w:szCs w:val="24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8E"/>
    <w:rsid w:val="0000396C"/>
    <w:rsid w:val="00014F8D"/>
    <w:rsid w:val="0002580F"/>
    <w:rsid w:val="00045381"/>
    <w:rsid w:val="00053B5E"/>
    <w:rsid w:val="00063E5A"/>
    <w:rsid w:val="00067E96"/>
    <w:rsid w:val="00071237"/>
    <w:rsid w:val="000722E1"/>
    <w:rsid w:val="000B0A22"/>
    <w:rsid w:val="000D6264"/>
    <w:rsid w:val="000D67F9"/>
    <w:rsid w:val="000D734F"/>
    <w:rsid w:val="000E0EFD"/>
    <w:rsid w:val="0010547A"/>
    <w:rsid w:val="001126DE"/>
    <w:rsid w:val="00121BEB"/>
    <w:rsid w:val="00121CF7"/>
    <w:rsid w:val="001313C1"/>
    <w:rsid w:val="0013198D"/>
    <w:rsid w:val="001374CC"/>
    <w:rsid w:val="0014319B"/>
    <w:rsid w:val="0016239A"/>
    <w:rsid w:val="001738C6"/>
    <w:rsid w:val="00196737"/>
    <w:rsid w:val="001B2D55"/>
    <w:rsid w:val="001B405B"/>
    <w:rsid w:val="001C55ED"/>
    <w:rsid w:val="001C76D8"/>
    <w:rsid w:val="001C7DF1"/>
    <w:rsid w:val="001D0B9C"/>
    <w:rsid w:val="001F2ECD"/>
    <w:rsid w:val="001F6302"/>
    <w:rsid w:val="00221C69"/>
    <w:rsid w:val="0022273F"/>
    <w:rsid w:val="00223992"/>
    <w:rsid w:val="00280052"/>
    <w:rsid w:val="002831E7"/>
    <w:rsid w:val="00287575"/>
    <w:rsid w:val="002E53F4"/>
    <w:rsid w:val="002F06C2"/>
    <w:rsid w:val="002F3363"/>
    <w:rsid w:val="002F7152"/>
    <w:rsid w:val="00302072"/>
    <w:rsid w:val="00312528"/>
    <w:rsid w:val="0032659A"/>
    <w:rsid w:val="00331212"/>
    <w:rsid w:val="003368E2"/>
    <w:rsid w:val="00342ACE"/>
    <w:rsid w:val="0034481E"/>
    <w:rsid w:val="00366933"/>
    <w:rsid w:val="003946BD"/>
    <w:rsid w:val="003B595F"/>
    <w:rsid w:val="003B62C4"/>
    <w:rsid w:val="003C0E07"/>
    <w:rsid w:val="003C55FC"/>
    <w:rsid w:val="003D12D8"/>
    <w:rsid w:val="003D6D54"/>
    <w:rsid w:val="003E6AD9"/>
    <w:rsid w:val="003F0B3B"/>
    <w:rsid w:val="00404E19"/>
    <w:rsid w:val="0042466C"/>
    <w:rsid w:val="00427E6F"/>
    <w:rsid w:val="004428B6"/>
    <w:rsid w:val="00443EB8"/>
    <w:rsid w:val="00445114"/>
    <w:rsid w:val="00446B1E"/>
    <w:rsid w:val="00456DB2"/>
    <w:rsid w:val="004663EB"/>
    <w:rsid w:val="00474309"/>
    <w:rsid w:val="004908FF"/>
    <w:rsid w:val="00490C44"/>
    <w:rsid w:val="00490D3D"/>
    <w:rsid w:val="004A03D3"/>
    <w:rsid w:val="004A5F66"/>
    <w:rsid w:val="004C0935"/>
    <w:rsid w:val="004C441C"/>
    <w:rsid w:val="004C668D"/>
    <w:rsid w:val="004E3160"/>
    <w:rsid w:val="004E6C9F"/>
    <w:rsid w:val="004F2857"/>
    <w:rsid w:val="00512960"/>
    <w:rsid w:val="0051730E"/>
    <w:rsid w:val="00531E52"/>
    <w:rsid w:val="0054376C"/>
    <w:rsid w:val="00557DB6"/>
    <w:rsid w:val="00561D91"/>
    <w:rsid w:val="005625A1"/>
    <w:rsid w:val="00590662"/>
    <w:rsid w:val="005A23EB"/>
    <w:rsid w:val="005A750C"/>
    <w:rsid w:val="005B0C2A"/>
    <w:rsid w:val="005B7510"/>
    <w:rsid w:val="005C6820"/>
    <w:rsid w:val="005D2748"/>
    <w:rsid w:val="005D3D52"/>
    <w:rsid w:val="005E7021"/>
    <w:rsid w:val="005F2BCA"/>
    <w:rsid w:val="006266A6"/>
    <w:rsid w:val="006500DF"/>
    <w:rsid w:val="00655CE1"/>
    <w:rsid w:val="00655FC1"/>
    <w:rsid w:val="00674220"/>
    <w:rsid w:val="00675927"/>
    <w:rsid w:val="006915FE"/>
    <w:rsid w:val="006C4007"/>
    <w:rsid w:val="006E4423"/>
    <w:rsid w:val="007009FC"/>
    <w:rsid w:val="007022E9"/>
    <w:rsid w:val="00713E89"/>
    <w:rsid w:val="0072314F"/>
    <w:rsid w:val="00742295"/>
    <w:rsid w:val="0075782C"/>
    <w:rsid w:val="00760D69"/>
    <w:rsid w:val="00762EFC"/>
    <w:rsid w:val="0077261D"/>
    <w:rsid w:val="00781171"/>
    <w:rsid w:val="007835E0"/>
    <w:rsid w:val="0078383A"/>
    <w:rsid w:val="00787EE9"/>
    <w:rsid w:val="0079157A"/>
    <w:rsid w:val="007942A0"/>
    <w:rsid w:val="007A2DC2"/>
    <w:rsid w:val="007B0008"/>
    <w:rsid w:val="007B443C"/>
    <w:rsid w:val="007B4E49"/>
    <w:rsid w:val="007D0245"/>
    <w:rsid w:val="007D620F"/>
    <w:rsid w:val="007D7671"/>
    <w:rsid w:val="007F6521"/>
    <w:rsid w:val="00823D36"/>
    <w:rsid w:val="00825C8A"/>
    <w:rsid w:val="00842795"/>
    <w:rsid w:val="00860953"/>
    <w:rsid w:val="00863D3A"/>
    <w:rsid w:val="00866C97"/>
    <w:rsid w:val="008727A8"/>
    <w:rsid w:val="0087620B"/>
    <w:rsid w:val="00877367"/>
    <w:rsid w:val="00885622"/>
    <w:rsid w:val="00885802"/>
    <w:rsid w:val="00890012"/>
    <w:rsid w:val="008921D4"/>
    <w:rsid w:val="00893F81"/>
    <w:rsid w:val="00895A40"/>
    <w:rsid w:val="008A35DA"/>
    <w:rsid w:val="008A47C8"/>
    <w:rsid w:val="008A4F79"/>
    <w:rsid w:val="008C0D0B"/>
    <w:rsid w:val="008F3807"/>
    <w:rsid w:val="008F7BE8"/>
    <w:rsid w:val="00902D71"/>
    <w:rsid w:val="009138F9"/>
    <w:rsid w:val="00926A56"/>
    <w:rsid w:val="00955403"/>
    <w:rsid w:val="00965253"/>
    <w:rsid w:val="009664AF"/>
    <w:rsid w:val="00980BD5"/>
    <w:rsid w:val="009829F6"/>
    <w:rsid w:val="009D4755"/>
    <w:rsid w:val="009E33DB"/>
    <w:rsid w:val="009E412D"/>
    <w:rsid w:val="009F0E87"/>
    <w:rsid w:val="009F280A"/>
    <w:rsid w:val="009F4F41"/>
    <w:rsid w:val="00A0516B"/>
    <w:rsid w:val="00A141F0"/>
    <w:rsid w:val="00A16602"/>
    <w:rsid w:val="00A175D1"/>
    <w:rsid w:val="00A245FF"/>
    <w:rsid w:val="00A26AFC"/>
    <w:rsid w:val="00A3341D"/>
    <w:rsid w:val="00A374E2"/>
    <w:rsid w:val="00A45175"/>
    <w:rsid w:val="00A611F5"/>
    <w:rsid w:val="00A731F2"/>
    <w:rsid w:val="00A8613A"/>
    <w:rsid w:val="00A871BD"/>
    <w:rsid w:val="00A9678D"/>
    <w:rsid w:val="00AB6999"/>
    <w:rsid w:val="00AC016C"/>
    <w:rsid w:val="00AC32DE"/>
    <w:rsid w:val="00AD185D"/>
    <w:rsid w:val="00AE1E13"/>
    <w:rsid w:val="00AE4383"/>
    <w:rsid w:val="00B0686B"/>
    <w:rsid w:val="00B06E86"/>
    <w:rsid w:val="00B135B5"/>
    <w:rsid w:val="00B355BF"/>
    <w:rsid w:val="00B50B06"/>
    <w:rsid w:val="00B65C92"/>
    <w:rsid w:val="00B8368D"/>
    <w:rsid w:val="00B83ABC"/>
    <w:rsid w:val="00BA02F4"/>
    <w:rsid w:val="00BA1FA2"/>
    <w:rsid w:val="00BB7F44"/>
    <w:rsid w:val="00BC22FC"/>
    <w:rsid w:val="00BC297B"/>
    <w:rsid w:val="00BC4C4B"/>
    <w:rsid w:val="00BD1569"/>
    <w:rsid w:val="00BF1F0B"/>
    <w:rsid w:val="00C049CB"/>
    <w:rsid w:val="00C101E7"/>
    <w:rsid w:val="00C1573F"/>
    <w:rsid w:val="00C16682"/>
    <w:rsid w:val="00C17609"/>
    <w:rsid w:val="00C268CE"/>
    <w:rsid w:val="00C359CB"/>
    <w:rsid w:val="00C82E51"/>
    <w:rsid w:val="00CA71E9"/>
    <w:rsid w:val="00CC196A"/>
    <w:rsid w:val="00CD61FA"/>
    <w:rsid w:val="00CE4DDF"/>
    <w:rsid w:val="00D13682"/>
    <w:rsid w:val="00D255AE"/>
    <w:rsid w:val="00D35238"/>
    <w:rsid w:val="00D42FE2"/>
    <w:rsid w:val="00D51828"/>
    <w:rsid w:val="00D56461"/>
    <w:rsid w:val="00D62947"/>
    <w:rsid w:val="00D73FB9"/>
    <w:rsid w:val="00D75082"/>
    <w:rsid w:val="00D813EB"/>
    <w:rsid w:val="00D84A8E"/>
    <w:rsid w:val="00D852B2"/>
    <w:rsid w:val="00D9054A"/>
    <w:rsid w:val="00D9071A"/>
    <w:rsid w:val="00D920E8"/>
    <w:rsid w:val="00DA7CF2"/>
    <w:rsid w:val="00DD1392"/>
    <w:rsid w:val="00DF4BBF"/>
    <w:rsid w:val="00E1743B"/>
    <w:rsid w:val="00E3306E"/>
    <w:rsid w:val="00E53BC4"/>
    <w:rsid w:val="00E60FB5"/>
    <w:rsid w:val="00E843F6"/>
    <w:rsid w:val="00E91D5F"/>
    <w:rsid w:val="00E96CD5"/>
    <w:rsid w:val="00EA7A53"/>
    <w:rsid w:val="00EB4CDE"/>
    <w:rsid w:val="00EC22E6"/>
    <w:rsid w:val="00EF0B41"/>
    <w:rsid w:val="00F0012A"/>
    <w:rsid w:val="00F006CE"/>
    <w:rsid w:val="00F075F4"/>
    <w:rsid w:val="00F5057A"/>
    <w:rsid w:val="00F50F98"/>
    <w:rsid w:val="00F6480A"/>
    <w:rsid w:val="00F67AB7"/>
    <w:rsid w:val="00F83ECE"/>
    <w:rsid w:val="00F84841"/>
    <w:rsid w:val="00F91A31"/>
    <w:rsid w:val="00FB50AD"/>
    <w:rsid w:val="00FB5338"/>
    <w:rsid w:val="00FC11B7"/>
    <w:rsid w:val="00FC58E4"/>
    <w:rsid w:val="00FD2D41"/>
    <w:rsid w:val="00FD2F56"/>
    <w:rsid w:val="00FD4F8E"/>
    <w:rsid w:val="00FF4EAA"/>
    <w:rsid w:val="00FF517E"/>
    <w:rsid w:val="00FF5A03"/>
    <w:rsid w:val="1A945CFC"/>
    <w:rsid w:val="25B23D60"/>
    <w:rsid w:val="26F27C17"/>
    <w:rsid w:val="310E702D"/>
    <w:rsid w:val="3CCD13F7"/>
    <w:rsid w:val="613C2F3F"/>
    <w:rsid w:val="6E4259CA"/>
    <w:rsid w:val="6E44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257</Words>
  <Characters>1469</Characters>
  <Lines>12</Lines>
  <Paragraphs>3</Paragraphs>
  <TotalTime>17</TotalTime>
  <ScaleCrop>false</ScaleCrop>
  <LinksUpToDate>false</LinksUpToDate>
  <CharactersWithSpaces>1723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2019-08-09T02:13:00Z</dcterms:created>
  <dc:creator>周亮辉 10.104.93.85</dc:creator>
  <cp:lastModifiedBy>Administrator</cp:lastModifiedBy>
  <dcterms:modified xsi:type="dcterms:W3CDTF">2019-09-10T00:53:50Z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