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EA1" w:rsidRDefault="00990EA1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990EA1" w:rsidRDefault="00990EA1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990EA1" w:rsidRDefault="00990EA1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990EA1" w:rsidRDefault="00990EA1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990EA1" w:rsidRDefault="00990EA1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990EA1" w:rsidRDefault="008F672A">
      <w:pPr>
        <w:widowControl/>
        <w:jc w:val="center"/>
        <w:rPr>
          <w:rFonts w:ascii="Times New Roman" w:eastAsia="方正小标宋_GBK" w:hAnsi="Times New Roman" w:cs="Times New Roman"/>
          <w:bCs/>
          <w:kern w:val="0"/>
          <w:sz w:val="72"/>
          <w:szCs w:val="72"/>
        </w:rPr>
      </w:pPr>
      <w:r>
        <w:rPr>
          <w:rFonts w:ascii="Times New Roman" w:eastAsia="方正小标宋_GBK" w:hAnsi="Times New Roman" w:cs="Times New Roman" w:hint="eastAsia"/>
          <w:bCs/>
          <w:kern w:val="0"/>
          <w:sz w:val="72"/>
          <w:szCs w:val="72"/>
        </w:rPr>
        <w:t>鹤城区人大</w:t>
      </w:r>
      <w:r>
        <w:rPr>
          <w:rFonts w:ascii="Times New Roman" w:eastAsia="方正小标宋_GBK" w:hAnsi="Times New Roman" w:cs="Times New Roman" w:hint="eastAsia"/>
          <w:bCs/>
          <w:kern w:val="0"/>
          <w:sz w:val="72"/>
          <w:szCs w:val="72"/>
        </w:rPr>
        <w:t>2018</w:t>
      </w:r>
      <w:r>
        <w:rPr>
          <w:rFonts w:ascii="Times New Roman" w:eastAsia="方正小标宋_GBK" w:hAnsi="Times New Roman" w:cs="Times New Roman" w:hint="eastAsia"/>
          <w:bCs/>
          <w:kern w:val="0"/>
          <w:sz w:val="72"/>
          <w:szCs w:val="72"/>
        </w:rPr>
        <w:t>年度</w:t>
      </w:r>
    </w:p>
    <w:p w:rsidR="00990EA1" w:rsidRDefault="008F672A">
      <w:pPr>
        <w:widowControl/>
        <w:jc w:val="center"/>
        <w:rPr>
          <w:rFonts w:ascii="Times New Roman" w:eastAsia="方正小标宋_GBK" w:hAnsi="Times New Roman" w:cs="Times New Roman"/>
          <w:bCs/>
          <w:kern w:val="0"/>
          <w:sz w:val="72"/>
          <w:szCs w:val="72"/>
        </w:rPr>
      </w:pPr>
      <w:r>
        <w:rPr>
          <w:rFonts w:ascii="Times New Roman" w:eastAsia="方正小标宋_GBK" w:hAnsi="Times New Roman" w:cs="Times New Roman" w:hint="eastAsia"/>
          <w:bCs/>
          <w:kern w:val="0"/>
          <w:sz w:val="72"/>
          <w:szCs w:val="72"/>
        </w:rPr>
        <w:t>部门决算</w:t>
      </w:r>
    </w:p>
    <w:p w:rsidR="00990EA1" w:rsidRDefault="00990EA1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990EA1" w:rsidRDefault="00990EA1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990EA1" w:rsidRDefault="00990EA1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990EA1" w:rsidRDefault="00990EA1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990EA1" w:rsidRDefault="00990EA1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990EA1" w:rsidRDefault="00990EA1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990EA1" w:rsidRDefault="00990EA1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990EA1" w:rsidRDefault="00990EA1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990EA1" w:rsidRDefault="00990EA1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990EA1" w:rsidRDefault="00990EA1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990EA1" w:rsidRDefault="00990EA1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990EA1" w:rsidRDefault="00990EA1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990EA1" w:rsidRDefault="00990EA1">
      <w:pPr>
        <w:widowControl/>
        <w:jc w:val="center"/>
        <w:rPr>
          <w:rFonts w:ascii="Times New Roman" w:eastAsia="宋体" w:hAnsi="Times New Roman" w:cs="Times New Roman"/>
          <w:b/>
          <w:bCs/>
          <w:kern w:val="0"/>
          <w:sz w:val="44"/>
          <w:szCs w:val="44"/>
        </w:rPr>
      </w:pPr>
    </w:p>
    <w:p w:rsidR="00990EA1" w:rsidRDefault="008F672A">
      <w:pPr>
        <w:widowControl/>
        <w:jc w:val="center"/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bCs/>
          <w:kern w:val="0"/>
          <w:sz w:val="44"/>
          <w:szCs w:val="44"/>
        </w:rPr>
        <w:lastRenderedPageBreak/>
        <w:t>目录</w:t>
      </w:r>
    </w:p>
    <w:p w:rsidR="00990EA1" w:rsidRDefault="00990EA1">
      <w:pPr>
        <w:widowControl/>
        <w:rPr>
          <w:rFonts w:ascii="仿宋_GB2312" w:eastAsia="仿宋_GB2312" w:hAnsi="Times New Roman" w:cs="Times New Roman"/>
          <w:b/>
          <w:bCs/>
          <w:kern w:val="0"/>
          <w:sz w:val="32"/>
          <w:szCs w:val="32"/>
        </w:rPr>
      </w:pPr>
    </w:p>
    <w:p w:rsidR="00990EA1" w:rsidRDefault="008F672A">
      <w:pPr>
        <w:widowControl/>
        <w:spacing w:line="6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第一部分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 xml:space="preserve">  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区人大概况</w:t>
      </w:r>
    </w:p>
    <w:p w:rsidR="00990EA1" w:rsidRDefault="008F672A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一、部门职责</w:t>
      </w:r>
    </w:p>
    <w:p w:rsidR="00990EA1" w:rsidRDefault="008F672A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二、机构设置</w:t>
      </w:r>
    </w:p>
    <w:p w:rsidR="00990EA1" w:rsidRDefault="008F672A">
      <w:pPr>
        <w:widowControl/>
        <w:spacing w:line="6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第二部分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 xml:space="preserve">  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区人大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201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8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年度部门决算表</w:t>
      </w:r>
    </w:p>
    <w:p w:rsidR="00990EA1" w:rsidRDefault="008F672A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一、收入支出决算总表</w:t>
      </w:r>
    </w:p>
    <w:p w:rsidR="00990EA1" w:rsidRDefault="008F672A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二、收入决算表</w:t>
      </w:r>
    </w:p>
    <w:p w:rsidR="00990EA1" w:rsidRDefault="008F672A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三、支出决算表</w:t>
      </w:r>
    </w:p>
    <w:p w:rsidR="00990EA1" w:rsidRDefault="008F672A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四、财政拨款收入支出决算总表</w:t>
      </w:r>
    </w:p>
    <w:p w:rsidR="00990EA1" w:rsidRDefault="008F672A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五、一般公共预算财政拨款支出决算表</w:t>
      </w:r>
    </w:p>
    <w:p w:rsidR="00990EA1" w:rsidRDefault="008F672A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六、一般公共预算财政拨款基本支出决算表</w:t>
      </w:r>
    </w:p>
    <w:p w:rsidR="00990EA1" w:rsidRDefault="008F672A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七、一般公共预算财政拨款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三公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经费支出决算表</w:t>
      </w:r>
    </w:p>
    <w:p w:rsidR="00990EA1" w:rsidRDefault="008F672A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八、政府性基金预算财政拨款收入支出决算表</w:t>
      </w:r>
    </w:p>
    <w:p w:rsidR="00990EA1" w:rsidRDefault="008F672A">
      <w:pPr>
        <w:widowControl/>
        <w:spacing w:line="6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第三部分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 xml:space="preserve">  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区人大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201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8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年度部门决算情况说明</w:t>
      </w:r>
    </w:p>
    <w:p w:rsidR="00990EA1" w:rsidRDefault="008F672A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一、收入支出决算总体情况说明</w:t>
      </w:r>
    </w:p>
    <w:p w:rsidR="00990EA1" w:rsidRDefault="008F672A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二、收入决算情况说明</w:t>
      </w:r>
    </w:p>
    <w:p w:rsidR="00990EA1" w:rsidRDefault="008F672A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三、支出决算情况说明</w:t>
      </w:r>
    </w:p>
    <w:p w:rsidR="00990EA1" w:rsidRDefault="008F672A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四、财政拨款收入支出决算总体情况说明</w:t>
      </w:r>
    </w:p>
    <w:p w:rsidR="00990EA1" w:rsidRDefault="008F672A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五、一般公共预算财政拨款支出决算情况说明</w:t>
      </w:r>
    </w:p>
    <w:p w:rsidR="00990EA1" w:rsidRDefault="008F672A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六、一般公共预算财政拨款基本支出决算情况说明</w:t>
      </w:r>
    </w:p>
    <w:p w:rsidR="00990EA1" w:rsidRDefault="008F672A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lastRenderedPageBreak/>
        <w:t>七、一般公共预算财政拨款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三公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经费支出情况决算情况说明</w:t>
      </w:r>
    </w:p>
    <w:p w:rsidR="00990EA1" w:rsidRDefault="008F672A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八、政府性基金预算收入支出决算情况</w:t>
      </w:r>
    </w:p>
    <w:p w:rsidR="00990EA1" w:rsidRDefault="008F672A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九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、预算绩效情况说明</w:t>
      </w:r>
    </w:p>
    <w:p w:rsidR="00990EA1" w:rsidRDefault="008F672A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十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、其他重要事项的情况说明</w:t>
      </w:r>
    </w:p>
    <w:p w:rsidR="00990EA1" w:rsidRDefault="008F672A">
      <w:pPr>
        <w:widowControl/>
        <w:spacing w:line="6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第四部分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 xml:space="preserve">  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名称解释</w:t>
      </w:r>
    </w:p>
    <w:p w:rsidR="00990EA1" w:rsidRDefault="00990EA1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990EA1" w:rsidRDefault="00990EA1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990EA1" w:rsidRDefault="00990EA1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990EA1" w:rsidRDefault="00990EA1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990EA1" w:rsidRDefault="00990EA1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990EA1" w:rsidRDefault="00990EA1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990EA1" w:rsidRDefault="00990EA1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990EA1" w:rsidRDefault="00990EA1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990EA1" w:rsidRDefault="00990EA1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990EA1" w:rsidRDefault="00990EA1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990EA1" w:rsidRDefault="00990EA1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990EA1" w:rsidRDefault="00990EA1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990EA1" w:rsidRDefault="00990EA1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990EA1" w:rsidRDefault="00990EA1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990EA1" w:rsidRDefault="00990EA1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990EA1" w:rsidRDefault="00990EA1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990EA1" w:rsidRDefault="00990EA1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990EA1" w:rsidRDefault="00990EA1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990EA1" w:rsidRDefault="008F672A">
      <w:pPr>
        <w:widowControl/>
        <w:spacing w:line="6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第一部分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 xml:space="preserve">  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区人大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概况</w:t>
      </w:r>
    </w:p>
    <w:p w:rsidR="00990EA1" w:rsidRDefault="008F672A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一、部门职责</w:t>
      </w:r>
    </w:p>
    <w:p w:rsidR="00990EA1" w:rsidRDefault="008F672A">
      <w:pPr>
        <w:spacing w:line="560" w:lineRule="exact"/>
        <w:ind w:firstLineChars="200" w:firstLine="640"/>
        <w:rPr>
          <w:rFonts w:ascii="仿宋_GB2312" w:eastAsia="仿宋_GB2312"/>
          <w:bCs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确保法律法规在本行政区域的执行，依法监督、依法召开人民代表大会会议、常委会会议和主任会议，依法进行人事任免和代表工作，开展人大制度研究和宣传工作。</w:t>
      </w:r>
    </w:p>
    <w:p w:rsidR="00990EA1" w:rsidRDefault="008F672A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二、机构设置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及决算单位构成</w:t>
      </w:r>
    </w:p>
    <w:p w:rsidR="00990EA1" w:rsidRDefault="008F672A">
      <w:pPr>
        <w:spacing w:line="560" w:lineRule="exact"/>
        <w:ind w:firstLineChars="200" w:firstLine="640"/>
        <w:rPr>
          <w:rFonts w:ascii="仿宋_GB2312" w:eastAsia="仿宋_GB2312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（一）内设机构设置。鹤城区人大内设机构包括：</w:t>
      </w:r>
      <w:r>
        <w:rPr>
          <w:rFonts w:ascii="仿宋_GB2312" w:eastAsia="仿宋_GB2312" w:hAnsi="仿宋_GB2312" w:cs="仿宋_GB2312" w:hint="eastAsia"/>
          <w:sz w:val="32"/>
          <w:szCs w:val="32"/>
        </w:rPr>
        <w:t>办公室、联工委、财经委、教科文卫工委、内委司法工委、城环工委、农业工委、法制委。</w:t>
      </w:r>
    </w:p>
    <w:p w:rsidR="00990EA1" w:rsidRDefault="008F672A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（二）决算单位构成。区人大办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年部门决算汇总公开单位构成包括：区人大办本级</w:t>
      </w:r>
    </w:p>
    <w:p w:rsidR="00990EA1" w:rsidRDefault="008F672A">
      <w:pPr>
        <w:widowControl/>
        <w:spacing w:line="6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第二部分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 xml:space="preserve">  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区人大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201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8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年度部门决算表</w:t>
      </w:r>
    </w:p>
    <w:p w:rsidR="00990EA1" w:rsidRDefault="008F672A">
      <w:pPr>
        <w:widowControl/>
        <w:spacing w:line="6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(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公开表格附后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)</w:t>
      </w:r>
    </w:p>
    <w:p w:rsidR="00990EA1" w:rsidRDefault="008F672A">
      <w:pPr>
        <w:widowControl/>
        <w:spacing w:line="600" w:lineRule="exac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第三部分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 xml:space="preserve">  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区人大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201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8</w:t>
      </w:r>
      <w:r>
        <w:rPr>
          <w:rFonts w:ascii="Times New Roman" w:eastAsia="黑体" w:hAnsi="Times New Roman" w:cs="Times New Roman"/>
          <w:bCs/>
          <w:kern w:val="0"/>
          <w:sz w:val="32"/>
          <w:szCs w:val="32"/>
        </w:rPr>
        <w:t>年度部门决算情况说明</w:t>
      </w:r>
    </w:p>
    <w:p w:rsidR="00990EA1" w:rsidRDefault="008F672A">
      <w:pPr>
        <w:widowControl/>
        <w:spacing w:line="600" w:lineRule="exact"/>
        <w:ind w:firstLineChars="150" w:firstLine="480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一、收入支出决算总体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情况说明</w:t>
      </w:r>
    </w:p>
    <w:p w:rsidR="00990EA1" w:rsidRDefault="008F672A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sz w:val="32"/>
          <w:szCs w:val="32"/>
        </w:rPr>
        <w:t>年决算收入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761.34</w:t>
      </w:r>
      <w:r>
        <w:rPr>
          <w:rFonts w:ascii="Times New Roman" w:eastAsia="仿宋_GB2312" w:hAnsi="Times New Roman" w:cs="Times New Roman"/>
          <w:sz w:val="32"/>
          <w:szCs w:val="32"/>
        </w:rPr>
        <w:t>万元，比上年减少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58.2</w:t>
      </w:r>
      <w:r>
        <w:rPr>
          <w:rFonts w:ascii="Times New Roman" w:eastAsia="仿宋_GB2312" w:hAnsi="Times New Roman" w:cs="Times New Roman"/>
          <w:sz w:val="32"/>
          <w:szCs w:val="32"/>
        </w:rPr>
        <w:t>万元，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减少原因主要是</w:t>
      </w:r>
      <w:r>
        <w:rPr>
          <w:rFonts w:ascii="Times New Roman" w:eastAsia="仿宋_GB2312" w:hAnsi="Times New Roman" w:cs="Times New Roman"/>
          <w:sz w:val="32"/>
          <w:szCs w:val="32"/>
        </w:rPr>
        <w:t>认真贯彻落实中央关于厉行节约的要求，严格控制公务接待标准及次数</w:t>
      </w:r>
      <w:r>
        <w:rPr>
          <w:rFonts w:ascii="Times New Roman" w:eastAsia="仿宋_GB2312" w:hAnsi="Times New Roman" w:cs="Times New Roman"/>
          <w:sz w:val="32"/>
          <w:szCs w:val="32"/>
        </w:rPr>
        <w:t>,</w:t>
      </w:r>
      <w:r>
        <w:rPr>
          <w:rFonts w:ascii="Times New Roman" w:eastAsia="仿宋_GB2312" w:hAnsi="Times New Roman" w:cs="Times New Roman"/>
          <w:sz w:val="32"/>
          <w:szCs w:val="32"/>
        </w:rPr>
        <w:t>规范公务用车管理，减少公务接待和公务用车运行维护费预算安排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，本年开支减少，来自财政的拨款收入减少。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年支出数为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779.7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万元，与上年决算数比较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减少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156.74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万元，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减少原因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一是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年召开了二</w:t>
      </w: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次人代会，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召开一次人代会，二是基层人大年度考核奖励跨年度支付</w:t>
      </w:r>
      <w:r>
        <w:rPr>
          <w:rFonts w:ascii="Times New Roman" w:eastAsia="仿宋_GB2312" w:hAnsi="Times New Roman" w:cs="Times New Roman"/>
          <w:sz w:val="32"/>
          <w:szCs w:val="32"/>
        </w:rPr>
        <w:t>工作。</w:t>
      </w:r>
    </w:p>
    <w:p w:rsidR="00990EA1" w:rsidRDefault="008F672A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二、收入决算情况说明</w:t>
      </w:r>
    </w:p>
    <w:p w:rsidR="00990EA1" w:rsidRDefault="008F672A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sz w:val="32"/>
          <w:szCs w:val="32"/>
        </w:rPr>
        <w:t>年决算收入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761.34</w:t>
      </w:r>
      <w:r>
        <w:rPr>
          <w:rFonts w:ascii="Times New Roman" w:eastAsia="仿宋_GB2312" w:hAnsi="Times New Roman" w:cs="Times New Roman"/>
          <w:sz w:val="32"/>
          <w:szCs w:val="32"/>
        </w:rPr>
        <w:t>万元，比上年减少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58.2</w:t>
      </w:r>
      <w:r>
        <w:rPr>
          <w:rFonts w:ascii="Times New Roman" w:eastAsia="仿宋_GB2312" w:hAnsi="Times New Roman" w:cs="Times New Roman"/>
          <w:sz w:val="32"/>
          <w:szCs w:val="32"/>
        </w:rPr>
        <w:t>万元，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减少原因主要是</w:t>
      </w:r>
      <w:r>
        <w:rPr>
          <w:rFonts w:ascii="Times New Roman" w:eastAsia="仿宋_GB2312" w:hAnsi="Times New Roman" w:cs="Times New Roman"/>
          <w:sz w:val="32"/>
          <w:szCs w:val="32"/>
        </w:rPr>
        <w:t>认真贯彻落实中央关于厉行节约的要求，严格控制公务接待标准及次数</w:t>
      </w:r>
      <w:r>
        <w:rPr>
          <w:rFonts w:ascii="Times New Roman" w:eastAsia="仿宋_GB2312" w:hAnsi="Times New Roman" w:cs="Times New Roman"/>
          <w:sz w:val="32"/>
          <w:szCs w:val="32"/>
        </w:rPr>
        <w:t>,</w:t>
      </w:r>
      <w:r>
        <w:rPr>
          <w:rFonts w:ascii="Times New Roman" w:eastAsia="仿宋_GB2312" w:hAnsi="Times New Roman" w:cs="Times New Roman"/>
          <w:sz w:val="32"/>
          <w:szCs w:val="32"/>
        </w:rPr>
        <w:t>规范公务用车管理，减少公务接待和公务用车运行维护费预算安排。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本年开支减少，来自财政的拨款收入减少。</w:t>
      </w:r>
    </w:p>
    <w:p w:rsidR="00990EA1" w:rsidRDefault="008F672A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三、支出决算情况说明</w:t>
      </w:r>
    </w:p>
    <w:p w:rsidR="00990EA1" w:rsidRDefault="008F672A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年支出数为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779.7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万元，与上年决算数比较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减少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156.74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万元，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减少原因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一是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年召开了二次人代会，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召开一次人代会，二是基层人大年度考核奖励跨年度支付</w:t>
      </w:r>
      <w:r>
        <w:rPr>
          <w:rFonts w:ascii="Times New Roman" w:eastAsia="仿宋_GB2312" w:hAnsi="Times New Roman" w:cs="Times New Roman"/>
          <w:sz w:val="32"/>
          <w:szCs w:val="32"/>
        </w:rPr>
        <w:t>工作。</w:t>
      </w:r>
    </w:p>
    <w:p w:rsidR="00990EA1" w:rsidRDefault="008F672A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四、财政拨款收入支出决算总体情况说明</w:t>
      </w:r>
    </w:p>
    <w:p w:rsidR="00990EA1" w:rsidRDefault="008F672A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sz w:val="32"/>
          <w:szCs w:val="32"/>
        </w:rPr>
        <w:t>年财政拨款收入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761.3</w:t>
      </w:r>
      <w:r>
        <w:rPr>
          <w:rFonts w:ascii="Times New Roman" w:eastAsia="仿宋_GB2312" w:hAnsi="Times New Roman" w:cs="Times New Roman"/>
          <w:sz w:val="32"/>
          <w:szCs w:val="32"/>
        </w:rPr>
        <w:t>万元，比上年减少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58.2</w:t>
      </w:r>
      <w:r>
        <w:rPr>
          <w:rFonts w:ascii="Times New Roman" w:eastAsia="仿宋_GB2312" w:hAnsi="Times New Roman" w:cs="Times New Roman"/>
          <w:sz w:val="32"/>
          <w:szCs w:val="32"/>
        </w:rPr>
        <w:t>万元，主要原因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是</w:t>
      </w:r>
      <w:r>
        <w:rPr>
          <w:rFonts w:ascii="Times New Roman" w:eastAsia="仿宋_GB2312" w:hAnsi="Times New Roman" w:cs="Times New Roman"/>
          <w:sz w:val="32"/>
          <w:szCs w:val="32"/>
        </w:rPr>
        <w:t>认真贯彻落实中央关于厉行节约的要求，严格控制公务接待标准及次数</w:t>
      </w:r>
      <w:r>
        <w:rPr>
          <w:rFonts w:ascii="Times New Roman" w:eastAsia="仿宋_GB2312" w:hAnsi="Times New Roman" w:cs="Times New Roman"/>
          <w:sz w:val="32"/>
          <w:szCs w:val="32"/>
        </w:rPr>
        <w:t>,</w:t>
      </w:r>
      <w:r>
        <w:rPr>
          <w:rFonts w:ascii="Times New Roman" w:eastAsia="仿宋_GB2312" w:hAnsi="Times New Roman" w:cs="Times New Roman"/>
          <w:sz w:val="32"/>
          <w:szCs w:val="32"/>
        </w:rPr>
        <w:t>规范公务用车管理，减少公务接待和公务用车运行维护费预算安排。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财政拨款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支出数为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779.7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万元，与上年决算数比较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减少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156.74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万元，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减少原因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一是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年召开了二次人代会，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召开一次人代会，二是基层人大年度考核奖励跨年度支付</w:t>
      </w:r>
      <w:r>
        <w:rPr>
          <w:rFonts w:ascii="Times New Roman" w:eastAsia="仿宋_GB2312" w:hAnsi="Times New Roman" w:cs="Times New Roman"/>
          <w:sz w:val="32"/>
          <w:szCs w:val="32"/>
        </w:rPr>
        <w:t>工作。</w:t>
      </w:r>
    </w:p>
    <w:p w:rsidR="00990EA1" w:rsidRDefault="008F672A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990EA1" w:rsidRDefault="008F672A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五、一般公共预算财政拨款支出决算情况说明</w:t>
      </w:r>
    </w:p>
    <w:p w:rsidR="00990EA1" w:rsidRDefault="008F672A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>（一）财政拨款支出决算总体情况。</w:t>
      </w:r>
    </w:p>
    <w:p w:rsidR="00990EA1" w:rsidRDefault="008F672A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年一般公共预算财政拨款支出数为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779.7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万元，占本年度支出数的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93.96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%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，与上年决算数比较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减少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156.74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万元，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一是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年召开了二次人代会，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召开一次人代会，二是基层人大年度考核奖励跨年度支付</w:t>
      </w:r>
      <w:r>
        <w:rPr>
          <w:rFonts w:ascii="Times New Roman" w:eastAsia="仿宋_GB2312" w:hAnsi="Times New Roman" w:cs="Times New Roman"/>
          <w:sz w:val="32"/>
          <w:szCs w:val="32"/>
        </w:rPr>
        <w:t>工作。</w:t>
      </w:r>
    </w:p>
    <w:p w:rsidR="00990EA1" w:rsidRDefault="008F672A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（二）财政拨款支出决算结构情况。</w:t>
      </w:r>
    </w:p>
    <w:p w:rsidR="00990EA1" w:rsidRDefault="008F672A">
      <w:pPr>
        <w:widowControl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年一般公共预算财政拨款支出数为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779.7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万元，其中一般公共服务支出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768.8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万元，占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98.6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%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；社会保障和就业支出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10.9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万元，占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1.4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%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:rsidR="00990EA1" w:rsidRDefault="008F672A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（三）财政拨款支出决算具体情况。</w:t>
      </w:r>
    </w:p>
    <w:p w:rsidR="00990EA1" w:rsidRDefault="008F672A">
      <w:pPr>
        <w:widowControl/>
        <w:ind w:firstLineChars="300" w:firstLine="96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年财政拨款支出与年初预算相比增加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167.2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万元，其中工资福利增加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129.1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万元，对个人和家庭的补助支出增加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22.6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万元，增加的原因是因为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单位养老保险由财政拨款至单位自己缴费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。一般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商品和服务支出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增加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15.5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万元，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增加原因是机关运行人员经费增加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990EA1" w:rsidRDefault="008F672A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六、一般公共预算财政拨款基本支出决算情况说明</w:t>
      </w:r>
    </w:p>
    <w:p w:rsidR="00990EA1" w:rsidRDefault="008F672A" w:rsidP="006136E9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年一般公共预算财政拨款支出数为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779.7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万元，其中人员经费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487.7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万元，占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62.55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%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；公用经费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292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万元，占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37.45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%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:rsidR="00990EA1" w:rsidRDefault="008F672A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七、一般公共预算财政拨款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三公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经费支出决算情况说明</w:t>
      </w:r>
    </w:p>
    <w:p w:rsidR="00990EA1" w:rsidRDefault="008F672A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（一）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三公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经费财政拨款支出决算总体情况说明。</w:t>
      </w:r>
    </w:p>
    <w:p w:rsidR="00990EA1" w:rsidRDefault="008F672A">
      <w:pPr>
        <w:widowControl/>
        <w:ind w:firstLineChars="300" w:firstLine="96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>201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年三公经费决算总额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1.84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万元，比年初预算减少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17.06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万元，减少原因是</w:t>
      </w:r>
      <w:r>
        <w:rPr>
          <w:rFonts w:ascii="Times New Roman" w:eastAsia="仿宋_GB2312" w:hAnsi="Times New Roman" w:cs="Times New Roman"/>
          <w:sz w:val="32"/>
          <w:szCs w:val="32"/>
        </w:rPr>
        <w:t>认真贯彻落实中央关于厉行节约的要求，严格控制公务接待标准及次数</w:t>
      </w:r>
      <w:r>
        <w:rPr>
          <w:rFonts w:ascii="Times New Roman" w:eastAsia="仿宋_GB2312" w:hAnsi="Times New Roman" w:cs="Times New Roman"/>
          <w:sz w:val="32"/>
          <w:szCs w:val="32"/>
        </w:rPr>
        <w:t>,</w:t>
      </w:r>
      <w:r>
        <w:rPr>
          <w:rFonts w:ascii="Times New Roman" w:eastAsia="仿宋_GB2312" w:hAnsi="Times New Roman" w:cs="Times New Roman"/>
          <w:sz w:val="32"/>
          <w:szCs w:val="32"/>
        </w:rPr>
        <w:t>规范公务用车管理，减少公务接待和公务用车运行维护费预算安排。</w:t>
      </w:r>
    </w:p>
    <w:p w:rsidR="00990EA1" w:rsidRDefault="008F672A">
      <w:pPr>
        <w:autoSpaceDE w:val="0"/>
        <w:spacing w:line="580" w:lineRule="exact"/>
        <w:ind w:firstLineChars="200" w:firstLine="640"/>
        <w:rPr>
          <w:rFonts w:ascii="Times New Roman" w:eastAsia="仿宋_GB2312" w:hAnsi="Times New Roman" w:cs="Times New Roman"/>
          <w:color w:val="000000"/>
          <w:spacing w:val="-4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sz w:val="32"/>
          <w:szCs w:val="32"/>
        </w:rPr>
        <w:t>年三公经费决算支出合计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1.84</w:t>
      </w:r>
      <w:r>
        <w:rPr>
          <w:rFonts w:ascii="Times New Roman" w:eastAsia="仿宋_GB2312" w:hAnsi="Times New Roman" w:cs="Times New Roman"/>
          <w:sz w:val="32"/>
          <w:szCs w:val="32"/>
        </w:rPr>
        <w:t>万元，其中：公务用车购置及运行维护费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1.16</w:t>
      </w:r>
      <w:r>
        <w:rPr>
          <w:rFonts w:ascii="Times New Roman" w:eastAsia="仿宋_GB2312" w:hAnsi="Times New Roman" w:cs="Times New Roman"/>
          <w:sz w:val="32"/>
          <w:szCs w:val="32"/>
        </w:rPr>
        <w:t>万元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，公车保有量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辆</w:t>
      </w:r>
      <w:r>
        <w:rPr>
          <w:rFonts w:ascii="Times New Roman" w:eastAsia="仿宋_GB2312" w:hAnsi="Times New Roman" w:cs="Times New Roman"/>
          <w:sz w:val="32"/>
          <w:szCs w:val="32"/>
        </w:rPr>
        <w:t>；公务接待费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0.68</w:t>
      </w:r>
      <w:r>
        <w:rPr>
          <w:rFonts w:ascii="Times New Roman" w:eastAsia="仿宋_GB2312" w:hAnsi="Times New Roman" w:cs="Times New Roman"/>
          <w:sz w:val="32"/>
          <w:szCs w:val="32"/>
        </w:rPr>
        <w:t>万元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国内公务接待批次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sz w:val="32"/>
          <w:szCs w:val="32"/>
        </w:rPr>
        <w:t>次，共计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111</w:t>
      </w:r>
      <w:r>
        <w:rPr>
          <w:rFonts w:ascii="Times New Roman" w:eastAsia="仿宋_GB2312" w:hAnsi="Times New Roman" w:cs="Times New Roman"/>
          <w:sz w:val="32"/>
          <w:szCs w:val="32"/>
        </w:rPr>
        <w:t>人。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因公出国（境）费支出预算为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万元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三公经费支出比</w:t>
      </w:r>
      <w:r>
        <w:rPr>
          <w:rFonts w:ascii="Times New Roman" w:eastAsia="仿宋_GB2312" w:hAnsi="Times New Roman" w:cs="Times New Roman"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sz w:val="32"/>
          <w:szCs w:val="32"/>
        </w:rPr>
        <w:t>年决算支出减少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3.58</w:t>
      </w:r>
      <w:r>
        <w:rPr>
          <w:rFonts w:ascii="Times New Roman" w:eastAsia="仿宋_GB2312" w:hAnsi="Times New Roman" w:cs="Times New Roman"/>
          <w:sz w:val="32"/>
          <w:szCs w:val="32"/>
        </w:rPr>
        <w:t>万元，下降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66.05</w:t>
      </w:r>
      <w:r>
        <w:rPr>
          <w:rFonts w:ascii="Times New Roman" w:eastAsia="仿宋_GB2312" w:hAnsi="Times New Roman" w:cs="Times New Roman"/>
          <w:sz w:val="32"/>
          <w:szCs w:val="32"/>
        </w:rPr>
        <w:t>%</w:t>
      </w:r>
      <w:r>
        <w:rPr>
          <w:rFonts w:ascii="Times New Roman" w:eastAsia="仿宋_GB2312" w:hAnsi="Times New Roman" w:cs="Times New Roman"/>
          <w:sz w:val="32"/>
          <w:szCs w:val="32"/>
        </w:rPr>
        <w:t>，较年初预算节约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17.06</w:t>
      </w:r>
      <w:r>
        <w:rPr>
          <w:rFonts w:ascii="Times New Roman" w:eastAsia="仿宋_GB2312" w:hAnsi="Times New Roman" w:cs="Times New Roman"/>
          <w:sz w:val="32"/>
          <w:szCs w:val="32"/>
        </w:rPr>
        <w:t>万元。</w:t>
      </w:r>
      <w:r>
        <w:rPr>
          <w:rFonts w:ascii="Times New Roman" w:eastAsia="仿宋_GB2312" w:hAnsi="Times New Roman" w:cs="Times New Roman"/>
          <w:color w:val="000000"/>
          <w:spacing w:val="-4"/>
          <w:kern w:val="0"/>
          <w:sz w:val="32"/>
          <w:szCs w:val="32"/>
        </w:rPr>
        <w:t>区人大积极规范管理，严格内控，厉行节约，积极主动压缩</w:t>
      </w:r>
      <w:r>
        <w:rPr>
          <w:rFonts w:ascii="Times New Roman" w:eastAsia="仿宋_GB2312" w:hAnsi="Times New Roman" w:cs="Times New Roman"/>
          <w:color w:val="000000"/>
          <w:spacing w:val="-4"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color w:val="000000"/>
          <w:spacing w:val="-4"/>
          <w:kern w:val="0"/>
          <w:sz w:val="32"/>
          <w:szCs w:val="32"/>
        </w:rPr>
        <w:t>三公</w:t>
      </w:r>
      <w:r>
        <w:rPr>
          <w:rFonts w:ascii="Times New Roman" w:eastAsia="仿宋_GB2312" w:hAnsi="Times New Roman" w:cs="Times New Roman"/>
          <w:color w:val="000000"/>
          <w:spacing w:val="-4"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color w:val="000000"/>
          <w:spacing w:val="-4"/>
          <w:kern w:val="0"/>
          <w:sz w:val="32"/>
          <w:szCs w:val="32"/>
        </w:rPr>
        <w:t>经费，严格控制办公经费，三公经费和办公经费开支逐年下降。</w:t>
      </w:r>
    </w:p>
    <w:p w:rsidR="00990EA1" w:rsidRDefault="008F672A">
      <w:pPr>
        <w:widowControl/>
        <w:spacing w:line="600" w:lineRule="exact"/>
        <w:ind w:firstLineChars="250" w:firstLine="80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（二）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三公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经费财政拨款支出决算具体情况说明。</w:t>
      </w:r>
    </w:p>
    <w:p w:rsidR="00990EA1" w:rsidRDefault="008F672A">
      <w:pPr>
        <w:widowControl/>
        <w:spacing w:line="600" w:lineRule="exact"/>
        <w:ind w:firstLineChars="300" w:firstLine="960"/>
        <w:rPr>
          <w:rFonts w:ascii="Times New Roman" w:eastAsia="仿宋_GB2312" w:hAnsi="Times New Roman" w:cs="Times New Roman"/>
          <w:color w:val="FF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sz w:val="32"/>
          <w:szCs w:val="32"/>
        </w:rPr>
        <w:t>年三公经费决算支出合计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1.84</w:t>
      </w:r>
      <w:r>
        <w:rPr>
          <w:rFonts w:ascii="Times New Roman" w:eastAsia="仿宋_GB2312" w:hAnsi="Times New Roman" w:cs="Times New Roman"/>
          <w:sz w:val="32"/>
          <w:szCs w:val="32"/>
        </w:rPr>
        <w:t>万元，其中：公务用车购置及运行维护费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1.16</w:t>
      </w:r>
      <w:r>
        <w:rPr>
          <w:rFonts w:ascii="Times New Roman" w:eastAsia="仿宋_GB2312" w:hAnsi="Times New Roman" w:cs="Times New Roman"/>
          <w:sz w:val="32"/>
          <w:szCs w:val="32"/>
        </w:rPr>
        <w:t>万元；公务接待费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0.68</w:t>
      </w:r>
      <w:r>
        <w:rPr>
          <w:rFonts w:ascii="Times New Roman" w:eastAsia="仿宋_GB2312" w:hAnsi="Times New Roman" w:cs="Times New Roman"/>
          <w:sz w:val="32"/>
          <w:szCs w:val="32"/>
        </w:rPr>
        <w:t>万元，国内公务接待批次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sz w:val="32"/>
          <w:szCs w:val="32"/>
        </w:rPr>
        <w:t>次，共计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111</w:t>
      </w:r>
      <w:r>
        <w:rPr>
          <w:rFonts w:ascii="Times New Roman" w:eastAsia="仿宋_GB2312" w:hAnsi="Times New Roman" w:cs="Times New Roman"/>
          <w:sz w:val="32"/>
          <w:szCs w:val="32"/>
        </w:rPr>
        <w:t>人。</w:t>
      </w:r>
    </w:p>
    <w:p w:rsidR="00990EA1" w:rsidRDefault="008F672A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八、政府性基金预算收入支出决算情况</w:t>
      </w:r>
    </w:p>
    <w:p w:rsidR="00990EA1" w:rsidRDefault="008F672A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本单位无政府性基金收支</w:t>
      </w:r>
    </w:p>
    <w:p w:rsidR="00990EA1" w:rsidRDefault="008F672A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九、关于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年度预算绩效情况说明</w:t>
      </w:r>
    </w:p>
    <w:p w:rsidR="00990EA1" w:rsidRDefault="008F672A">
      <w:pPr>
        <w:jc w:val="center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Cs/>
          <w:sz w:val="32"/>
          <w:szCs w:val="32"/>
        </w:rPr>
        <w:t>（区人大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8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年整体支出绩效评价工作的报告附后）</w:t>
      </w:r>
    </w:p>
    <w:p w:rsidR="00990EA1" w:rsidRDefault="008F672A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十、其他重要事项</w:t>
      </w:r>
    </w:p>
    <w:p w:rsidR="00990EA1" w:rsidRDefault="008F672A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（一）机关运行经费支出情况。本部门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年度机关运行经费支出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292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万元，比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201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增加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13.37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万元，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增加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4.8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%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>主要原因是：</w:t>
      </w:r>
      <w:r>
        <w:rPr>
          <w:rFonts w:ascii="Times New Roman" w:eastAsia="仿宋_GB2312" w:hAnsi="Times New Roman" w:cs="Times New Roman"/>
          <w:color w:val="000000"/>
          <w:spacing w:val="-4"/>
          <w:kern w:val="0"/>
          <w:sz w:val="32"/>
          <w:szCs w:val="32"/>
        </w:rPr>
        <w:t>区人大</w:t>
      </w:r>
      <w:r>
        <w:rPr>
          <w:rFonts w:ascii="Times New Roman" w:eastAsia="仿宋_GB2312" w:hAnsi="Times New Roman" w:cs="Times New Roman" w:hint="eastAsia"/>
          <w:color w:val="000000"/>
          <w:spacing w:val="-4"/>
          <w:kern w:val="0"/>
          <w:sz w:val="32"/>
          <w:szCs w:val="32"/>
        </w:rPr>
        <w:t>机关运行人员经费增加</w:t>
      </w:r>
      <w:r>
        <w:rPr>
          <w:rFonts w:ascii="Times New Roman" w:eastAsia="仿宋_GB2312" w:hAnsi="Times New Roman" w:cs="Times New Roman"/>
          <w:color w:val="000000"/>
          <w:spacing w:val="-4"/>
          <w:kern w:val="0"/>
          <w:sz w:val="32"/>
          <w:szCs w:val="32"/>
        </w:rPr>
        <w:t>。</w:t>
      </w:r>
    </w:p>
    <w:p w:rsidR="00990EA1" w:rsidRDefault="008F672A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（二）政府采购支出情况</w:t>
      </w:r>
    </w:p>
    <w:p w:rsidR="00990EA1" w:rsidRDefault="008F672A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本部门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2018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年度政府采购支出总额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万元，其中：政府采购货物支出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万元、政府采购工程支出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万元、政府采购服务支出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万元。授予中小企业合同金额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万元，占政府采购支出总额的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0%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，其中：授予小微企业合同金额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万元，占政府采购支出总额的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0%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。</w:t>
      </w:r>
    </w:p>
    <w:p w:rsidR="00990EA1" w:rsidRDefault="008F672A">
      <w:pPr>
        <w:numPr>
          <w:ilvl w:val="0"/>
          <w:numId w:val="1"/>
        </w:numPr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国有资产占用情况</w:t>
      </w:r>
    </w:p>
    <w:p w:rsidR="00990EA1" w:rsidRDefault="008F672A">
      <w:pPr>
        <w:spacing w:line="60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  <w:sectPr w:rsidR="00990EA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仿宋" w:eastAsia="仿宋" w:hAnsi="仿宋"/>
          <w:sz w:val="32"/>
          <w:szCs w:val="32"/>
        </w:rPr>
        <w:t>截至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 xml:space="preserve">12 </w:t>
      </w:r>
      <w:r>
        <w:rPr>
          <w:rFonts w:ascii="仿宋" w:eastAsia="仿宋" w:hAnsi="仿宋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 xml:space="preserve">31 </w:t>
      </w:r>
      <w:r>
        <w:rPr>
          <w:rFonts w:ascii="仿宋" w:eastAsia="仿宋" w:hAnsi="仿宋"/>
          <w:sz w:val="32"/>
          <w:szCs w:val="32"/>
        </w:rPr>
        <w:t>日，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本单位共有车辆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辆，其中，领导干部用车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辆、机要通信用车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辆、应急保障用车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辆、执法执勤用车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辆、特种专业技术用车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辆、其他用车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辆；单位价值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50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万元以上通用设备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台（套）；单位价值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100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万元以上专用设备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台（套）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。</w:t>
      </w:r>
      <w:bookmarkStart w:id="0" w:name="_GoBack"/>
      <w:bookmarkEnd w:id="0"/>
    </w:p>
    <w:p w:rsidR="00990EA1" w:rsidRDefault="008F672A">
      <w:pPr>
        <w:widowControl/>
        <w:spacing w:line="600" w:lineRule="exact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lastRenderedPageBreak/>
        <w:t>第四部分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 xml:space="preserve">  </w:t>
      </w:r>
      <w:r>
        <w:rPr>
          <w:rFonts w:ascii="Times New Roman" w:eastAsia="黑体" w:hAnsi="Times New Roman" w:cs="Times New Roman" w:hint="eastAsia"/>
          <w:bCs/>
          <w:kern w:val="0"/>
          <w:sz w:val="32"/>
          <w:szCs w:val="32"/>
        </w:rPr>
        <w:t>名词解释</w:t>
      </w:r>
    </w:p>
    <w:p w:rsidR="00990EA1" w:rsidRDefault="008F672A">
      <w:pPr>
        <w:spacing w:line="600" w:lineRule="exact"/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无</w:t>
      </w:r>
    </w:p>
    <w:p w:rsidR="00990EA1" w:rsidRDefault="008F672A">
      <w:pPr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、机关运行经费：为保障行政单位（包括参照公务员法管理的事业单位）运行，用一般公共决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 w:rsidR="00990EA1" w:rsidRDefault="008F672A">
      <w:pPr>
        <w:adjustRightInd w:val="0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．“三公”经费：纳入财政决算管理的“三公“经费，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是指用一般公共决算拨款安排的公务接待费、公务用车购置及运行维护费和因公出国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境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费。其中，公务接待费反映单位按规定开支的各类公务接待支出；公务用车购置及运行费反映单位公务用车车辆购置支出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含车辆购置税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，以及燃料费、维修费、保险费等支出；因公出国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境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费反映单公务出国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境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的国际旅费、国外城市间交通费、食宿费等支出。</w:t>
      </w:r>
    </w:p>
    <w:p w:rsidR="00990EA1" w:rsidRDefault="00990EA1"/>
    <w:p w:rsidR="00990EA1" w:rsidRDefault="00990EA1"/>
    <w:p w:rsidR="00990EA1" w:rsidRDefault="00990EA1"/>
    <w:p w:rsidR="00990EA1" w:rsidRDefault="00990EA1"/>
    <w:p w:rsidR="00990EA1" w:rsidRDefault="00990EA1"/>
    <w:p w:rsidR="00990EA1" w:rsidRDefault="00990EA1"/>
    <w:p w:rsidR="00990EA1" w:rsidRDefault="00990EA1"/>
    <w:p w:rsidR="00990EA1" w:rsidRDefault="008F672A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区人大</w:t>
      </w:r>
      <w:r>
        <w:rPr>
          <w:rFonts w:hint="eastAsia"/>
          <w:b/>
          <w:sz w:val="44"/>
          <w:szCs w:val="44"/>
        </w:rPr>
        <w:t>2018</w:t>
      </w:r>
      <w:r>
        <w:rPr>
          <w:rFonts w:hint="eastAsia"/>
          <w:b/>
          <w:sz w:val="44"/>
          <w:szCs w:val="44"/>
        </w:rPr>
        <w:t>年整体支出绩效评价工作的</w:t>
      </w:r>
    </w:p>
    <w:p w:rsidR="00990EA1" w:rsidRDefault="008F672A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报</w:t>
      </w:r>
      <w:r>
        <w:rPr>
          <w:rFonts w:hint="eastAsia"/>
          <w:b/>
          <w:sz w:val="44"/>
          <w:szCs w:val="44"/>
        </w:rPr>
        <w:t xml:space="preserve">  </w:t>
      </w:r>
      <w:r>
        <w:rPr>
          <w:rFonts w:hint="eastAsia"/>
          <w:b/>
          <w:sz w:val="44"/>
          <w:szCs w:val="44"/>
        </w:rPr>
        <w:t>告</w:t>
      </w:r>
    </w:p>
    <w:p w:rsidR="00990EA1" w:rsidRDefault="00990EA1">
      <w:pPr>
        <w:jc w:val="center"/>
        <w:rPr>
          <w:b/>
          <w:sz w:val="44"/>
          <w:szCs w:val="44"/>
        </w:rPr>
      </w:pPr>
    </w:p>
    <w:p w:rsidR="00990EA1" w:rsidRDefault="008F672A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</w:t>
      </w:r>
      <w:r>
        <w:rPr>
          <w:rFonts w:eastAsia="仿宋_GB2312" w:hint="eastAsia"/>
          <w:sz w:val="32"/>
          <w:szCs w:val="32"/>
        </w:rPr>
        <w:t>鹤城区财政局绩效股要求，</w:t>
      </w:r>
      <w:r>
        <w:rPr>
          <w:rFonts w:eastAsia="仿宋_GB2312"/>
          <w:sz w:val="32"/>
          <w:szCs w:val="32"/>
        </w:rPr>
        <w:t>区人大对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年部门</w:t>
      </w:r>
      <w:r>
        <w:rPr>
          <w:rFonts w:eastAsia="仿宋_GB2312"/>
          <w:sz w:val="32"/>
          <w:szCs w:val="32"/>
        </w:rPr>
        <w:lastRenderedPageBreak/>
        <w:t>整体支出进行了绩效自评。现报告如下：</w:t>
      </w:r>
    </w:p>
    <w:p w:rsidR="00990EA1" w:rsidRDefault="008F672A">
      <w:pPr>
        <w:ind w:firstLineChars="200" w:firstLine="643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一、部门职责及机构设置情况</w:t>
      </w:r>
    </w:p>
    <w:p w:rsidR="00990EA1" w:rsidRDefault="008F672A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、单位机构设置：鹤城区人大是全额拨款的行政单位，内设六委一室：办公室、联工委、财经工委、教科文卫工委、内委司法工委、城环工委、农业工委。</w:t>
      </w:r>
    </w:p>
    <w:p w:rsidR="00990EA1" w:rsidRDefault="008F672A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、主要工作职责：确保法律法规在本行政区域的执行，依法监督、依法召开人民代表大会会议、常委会会议和主任会议，依法进行人事任免和代表工作，开展人大制度研究和宣传工作。</w:t>
      </w:r>
    </w:p>
    <w:p w:rsidR="00990EA1" w:rsidRDefault="008F672A">
      <w:pPr>
        <w:ind w:firstLineChars="200" w:firstLine="643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二、部门整体支出情况</w:t>
      </w:r>
    </w:p>
    <w:p w:rsidR="00990EA1" w:rsidRDefault="008F672A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、年度</w:t>
      </w:r>
      <w:r>
        <w:rPr>
          <w:rFonts w:eastAsia="仿宋_GB2312" w:hint="eastAsia"/>
          <w:sz w:val="32"/>
          <w:szCs w:val="32"/>
        </w:rPr>
        <w:t>支出</w:t>
      </w:r>
      <w:r>
        <w:rPr>
          <w:rFonts w:eastAsia="仿宋_GB2312"/>
          <w:sz w:val="32"/>
          <w:szCs w:val="32"/>
        </w:rPr>
        <w:t>决算情况。一般公共服务支出</w:t>
      </w:r>
      <w:r>
        <w:rPr>
          <w:rFonts w:eastAsia="仿宋_GB2312" w:hint="eastAsia"/>
          <w:sz w:val="32"/>
          <w:szCs w:val="32"/>
        </w:rPr>
        <w:t>768.8</w:t>
      </w:r>
      <w:r>
        <w:rPr>
          <w:rFonts w:eastAsia="仿宋_GB2312"/>
          <w:sz w:val="32"/>
          <w:szCs w:val="32"/>
        </w:rPr>
        <w:t>万元。</w:t>
      </w:r>
    </w:p>
    <w:p w:rsidR="00990EA1" w:rsidRDefault="008F672A">
      <w:pPr>
        <w:widowControl/>
        <w:spacing w:line="600" w:lineRule="exact"/>
        <w:ind w:firstLineChars="196" w:firstLine="627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、年度一般公共预算财政拨款支出情况。</w:t>
      </w:r>
      <w:r>
        <w:rPr>
          <w:rFonts w:eastAsia="仿宋_GB2312"/>
          <w:sz w:val="32"/>
          <w:szCs w:val="32"/>
        </w:rPr>
        <w:t>①</w:t>
      </w:r>
      <w:r>
        <w:rPr>
          <w:rFonts w:eastAsia="仿宋_GB2312"/>
          <w:sz w:val="32"/>
          <w:szCs w:val="32"/>
        </w:rPr>
        <w:t>基本支出</w:t>
      </w:r>
      <w:r>
        <w:rPr>
          <w:rFonts w:eastAsia="仿宋_GB2312" w:hint="eastAsia"/>
          <w:sz w:val="32"/>
          <w:szCs w:val="32"/>
        </w:rPr>
        <w:t>779.7</w:t>
      </w:r>
      <w:r>
        <w:rPr>
          <w:rFonts w:eastAsia="仿宋_GB2312"/>
          <w:sz w:val="32"/>
          <w:szCs w:val="32"/>
        </w:rPr>
        <w:t>万元，其中：人员经费</w:t>
      </w:r>
      <w:r>
        <w:rPr>
          <w:rFonts w:eastAsia="仿宋_GB2312" w:hint="eastAsia"/>
          <w:sz w:val="32"/>
          <w:szCs w:val="32"/>
        </w:rPr>
        <w:t>487.7</w:t>
      </w:r>
      <w:r>
        <w:rPr>
          <w:rFonts w:eastAsia="仿宋_GB2312"/>
          <w:sz w:val="32"/>
          <w:szCs w:val="32"/>
        </w:rPr>
        <w:t>万元，公用经费</w:t>
      </w:r>
      <w:r>
        <w:rPr>
          <w:rFonts w:eastAsia="仿宋_GB2312" w:hint="eastAsia"/>
          <w:sz w:val="32"/>
          <w:szCs w:val="32"/>
        </w:rPr>
        <w:t>292</w:t>
      </w:r>
      <w:r>
        <w:rPr>
          <w:rFonts w:eastAsia="仿宋_GB2312"/>
          <w:sz w:val="32"/>
          <w:szCs w:val="32"/>
        </w:rPr>
        <w:t>万元。</w:t>
      </w:r>
    </w:p>
    <w:p w:rsidR="00990EA1" w:rsidRDefault="008F672A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、公用经费情况。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年决算公用经费支出为</w:t>
      </w:r>
      <w:r>
        <w:rPr>
          <w:rFonts w:eastAsia="仿宋_GB2312" w:hint="eastAsia"/>
          <w:sz w:val="32"/>
          <w:szCs w:val="32"/>
        </w:rPr>
        <w:t>292</w:t>
      </w:r>
      <w:r>
        <w:rPr>
          <w:rFonts w:eastAsia="仿宋_GB2312"/>
          <w:sz w:val="32"/>
          <w:szCs w:val="32"/>
        </w:rPr>
        <w:t>万元，其中：办公经费</w:t>
      </w:r>
      <w:r>
        <w:rPr>
          <w:rFonts w:eastAsia="仿宋_GB2312" w:hint="eastAsia"/>
          <w:sz w:val="32"/>
          <w:szCs w:val="32"/>
        </w:rPr>
        <w:t>64</w:t>
      </w:r>
      <w:r>
        <w:rPr>
          <w:rFonts w:eastAsia="仿宋_GB2312"/>
          <w:sz w:val="32"/>
          <w:szCs w:val="32"/>
        </w:rPr>
        <w:t>万元，水费、电费和差旅费</w:t>
      </w:r>
      <w:r>
        <w:rPr>
          <w:rFonts w:eastAsia="仿宋_GB2312" w:hint="eastAsia"/>
          <w:sz w:val="32"/>
          <w:szCs w:val="32"/>
        </w:rPr>
        <w:t>12.88</w:t>
      </w:r>
      <w:r>
        <w:rPr>
          <w:rFonts w:eastAsia="仿宋_GB2312"/>
          <w:sz w:val="32"/>
          <w:szCs w:val="32"/>
        </w:rPr>
        <w:t>万元，会议费、培训费</w:t>
      </w:r>
      <w:r>
        <w:rPr>
          <w:rFonts w:eastAsia="仿宋_GB2312" w:hint="eastAsia"/>
          <w:sz w:val="32"/>
          <w:szCs w:val="32"/>
        </w:rPr>
        <w:t>165</w:t>
      </w:r>
      <w:r>
        <w:rPr>
          <w:rFonts w:eastAsia="仿宋_GB2312"/>
          <w:sz w:val="32"/>
          <w:szCs w:val="32"/>
        </w:rPr>
        <w:t>万元。</w:t>
      </w:r>
      <w:r>
        <w:rPr>
          <w:rFonts w:eastAsia="仿宋_GB2312"/>
          <w:sz w:val="32"/>
          <w:szCs w:val="32"/>
        </w:rPr>
        <w:t xml:space="preserve"> </w:t>
      </w:r>
    </w:p>
    <w:p w:rsidR="00990EA1" w:rsidRDefault="008F672A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经费情况。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年决算支出合计</w:t>
      </w:r>
      <w:r>
        <w:rPr>
          <w:rFonts w:eastAsia="仿宋_GB2312" w:hint="eastAsia"/>
          <w:sz w:val="32"/>
          <w:szCs w:val="32"/>
        </w:rPr>
        <w:t>1.84</w:t>
      </w:r>
      <w:r>
        <w:rPr>
          <w:rFonts w:eastAsia="仿宋_GB2312"/>
          <w:sz w:val="32"/>
          <w:szCs w:val="32"/>
        </w:rPr>
        <w:t>万元，其中：公务用车购置及运行维护费</w:t>
      </w:r>
      <w:r>
        <w:rPr>
          <w:rFonts w:eastAsia="仿宋_GB2312" w:hint="eastAsia"/>
          <w:sz w:val="32"/>
          <w:szCs w:val="32"/>
        </w:rPr>
        <w:t>1.16</w:t>
      </w:r>
      <w:r>
        <w:rPr>
          <w:rFonts w:eastAsia="仿宋_GB2312"/>
          <w:sz w:val="32"/>
          <w:szCs w:val="32"/>
        </w:rPr>
        <w:t>万元；公务接待费</w:t>
      </w:r>
      <w:r>
        <w:rPr>
          <w:rFonts w:eastAsia="仿宋_GB2312" w:hint="eastAsia"/>
          <w:sz w:val="32"/>
          <w:szCs w:val="32"/>
        </w:rPr>
        <w:t>0.68</w:t>
      </w:r>
      <w:r>
        <w:rPr>
          <w:rFonts w:eastAsia="仿宋_GB2312"/>
          <w:sz w:val="32"/>
          <w:szCs w:val="32"/>
        </w:rPr>
        <w:t>万元。三公经费支出比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7</w:t>
      </w:r>
      <w:r>
        <w:rPr>
          <w:rFonts w:eastAsia="仿宋_GB2312"/>
          <w:sz w:val="32"/>
          <w:szCs w:val="32"/>
        </w:rPr>
        <w:t>年决算支出减少</w:t>
      </w:r>
      <w:r>
        <w:rPr>
          <w:rFonts w:eastAsia="仿宋_GB2312" w:hint="eastAsia"/>
          <w:sz w:val="32"/>
          <w:szCs w:val="32"/>
        </w:rPr>
        <w:t>3.58</w:t>
      </w:r>
      <w:r>
        <w:rPr>
          <w:rFonts w:eastAsia="仿宋_GB2312"/>
          <w:sz w:val="32"/>
          <w:szCs w:val="32"/>
        </w:rPr>
        <w:t>万元，下降</w:t>
      </w:r>
      <w:r>
        <w:rPr>
          <w:rFonts w:eastAsia="仿宋_GB2312" w:hint="eastAsia"/>
          <w:sz w:val="32"/>
          <w:szCs w:val="32"/>
        </w:rPr>
        <w:t>66.05</w:t>
      </w:r>
      <w:r>
        <w:rPr>
          <w:rFonts w:eastAsia="仿宋_GB2312"/>
          <w:sz w:val="32"/>
          <w:szCs w:val="32"/>
        </w:rPr>
        <w:t>%</w:t>
      </w:r>
      <w:r>
        <w:rPr>
          <w:rFonts w:eastAsia="仿宋_GB2312"/>
          <w:sz w:val="32"/>
          <w:szCs w:val="32"/>
        </w:rPr>
        <w:t>，较年初预算节约</w:t>
      </w:r>
      <w:r>
        <w:rPr>
          <w:rFonts w:eastAsia="仿宋_GB2312" w:hint="eastAsia"/>
          <w:sz w:val="32"/>
          <w:szCs w:val="32"/>
        </w:rPr>
        <w:t>17.06</w:t>
      </w:r>
      <w:r>
        <w:rPr>
          <w:rFonts w:eastAsia="仿宋_GB2312"/>
          <w:sz w:val="32"/>
          <w:szCs w:val="32"/>
        </w:rPr>
        <w:t>万元，节约比为</w:t>
      </w:r>
      <w:r>
        <w:rPr>
          <w:rFonts w:eastAsia="仿宋_GB2312" w:hint="eastAsia"/>
          <w:sz w:val="32"/>
          <w:szCs w:val="32"/>
        </w:rPr>
        <w:t>90.3</w:t>
      </w:r>
      <w:r>
        <w:rPr>
          <w:rFonts w:eastAsia="仿宋_GB2312"/>
          <w:sz w:val="32"/>
          <w:szCs w:val="32"/>
        </w:rPr>
        <w:t>%</w:t>
      </w:r>
      <w:r>
        <w:rPr>
          <w:rFonts w:eastAsia="仿宋_GB2312"/>
          <w:sz w:val="32"/>
          <w:szCs w:val="32"/>
        </w:rPr>
        <w:t>，完成年初预算的</w:t>
      </w:r>
      <w:r>
        <w:rPr>
          <w:rFonts w:eastAsia="仿宋_GB2312" w:hint="eastAsia"/>
          <w:sz w:val="32"/>
          <w:szCs w:val="32"/>
        </w:rPr>
        <w:t>9.7</w:t>
      </w:r>
      <w:r>
        <w:rPr>
          <w:rFonts w:eastAsia="仿宋_GB2312"/>
          <w:sz w:val="32"/>
          <w:szCs w:val="32"/>
        </w:rPr>
        <w:t>%</w:t>
      </w:r>
      <w:r>
        <w:rPr>
          <w:rFonts w:eastAsia="仿宋_GB2312"/>
          <w:sz w:val="32"/>
          <w:szCs w:val="32"/>
        </w:rPr>
        <w:t>。</w:t>
      </w:r>
    </w:p>
    <w:p w:rsidR="00990EA1" w:rsidRDefault="008F672A">
      <w:pPr>
        <w:ind w:firstLineChars="200" w:firstLine="643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三、部门整体支出绩效情况</w:t>
      </w:r>
    </w:p>
    <w:p w:rsidR="00990EA1" w:rsidRDefault="008F672A">
      <w:pPr>
        <w:autoSpaceDE w:val="0"/>
        <w:spacing w:line="580" w:lineRule="exact"/>
        <w:ind w:firstLineChars="200" w:firstLine="624"/>
        <w:rPr>
          <w:rFonts w:eastAsia="仿宋_GB2312"/>
          <w:color w:val="000000"/>
          <w:spacing w:val="-4"/>
          <w:kern w:val="0"/>
          <w:sz w:val="32"/>
          <w:szCs w:val="32"/>
        </w:rPr>
      </w:pPr>
      <w:r>
        <w:rPr>
          <w:rFonts w:eastAsia="仿宋_GB2312"/>
          <w:color w:val="000000"/>
          <w:spacing w:val="-4"/>
          <w:kern w:val="0"/>
          <w:sz w:val="32"/>
          <w:szCs w:val="32"/>
        </w:rPr>
        <w:lastRenderedPageBreak/>
        <w:t>区人大积极规范管理，严格内控，厉行节约，积极主动压缩</w:t>
      </w:r>
      <w:r>
        <w:rPr>
          <w:rFonts w:eastAsia="仿宋_GB2312"/>
          <w:color w:val="000000"/>
          <w:spacing w:val="-4"/>
          <w:kern w:val="0"/>
          <w:sz w:val="32"/>
          <w:szCs w:val="32"/>
        </w:rPr>
        <w:t>“</w:t>
      </w:r>
      <w:r>
        <w:rPr>
          <w:rFonts w:eastAsia="仿宋_GB2312"/>
          <w:color w:val="000000"/>
          <w:spacing w:val="-4"/>
          <w:kern w:val="0"/>
          <w:sz w:val="32"/>
          <w:szCs w:val="32"/>
        </w:rPr>
        <w:t>三公</w:t>
      </w:r>
      <w:r>
        <w:rPr>
          <w:rFonts w:eastAsia="仿宋_GB2312"/>
          <w:color w:val="000000"/>
          <w:spacing w:val="-4"/>
          <w:kern w:val="0"/>
          <w:sz w:val="32"/>
          <w:szCs w:val="32"/>
        </w:rPr>
        <w:t>”</w:t>
      </w:r>
      <w:r>
        <w:rPr>
          <w:rFonts w:eastAsia="仿宋_GB2312"/>
          <w:color w:val="000000"/>
          <w:spacing w:val="-4"/>
          <w:kern w:val="0"/>
          <w:sz w:val="32"/>
          <w:szCs w:val="32"/>
        </w:rPr>
        <w:t>经费，严格控制办公经费，三公经费和办公经费开支逐年下降。</w:t>
      </w:r>
    </w:p>
    <w:p w:rsidR="00990EA1" w:rsidRDefault="00990EA1">
      <w:pPr>
        <w:autoSpaceDE w:val="0"/>
        <w:spacing w:line="580" w:lineRule="exact"/>
        <w:ind w:firstLineChars="200" w:firstLine="624"/>
        <w:rPr>
          <w:rFonts w:eastAsia="仿宋_GB2312"/>
          <w:color w:val="000000"/>
          <w:spacing w:val="-4"/>
          <w:kern w:val="0"/>
          <w:sz w:val="32"/>
          <w:szCs w:val="32"/>
        </w:rPr>
      </w:pPr>
    </w:p>
    <w:p w:rsidR="00990EA1" w:rsidRDefault="00990EA1"/>
    <w:sectPr w:rsidR="00990EA1" w:rsidSect="00990E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72A" w:rsidRDefault="008F672A" w:rsidP="00990EA1">
      <w:r>
        <w:separator/>
      </w:r>
    </w:p>
  </w:endnote>
  <w:endnote w:type="continuationSeparator" w:id="1">
    <w:p w:rsidR="008F672A" w:rsidRDefault="008F672A" w:rsidP="00990E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EA1" w:rsidRDefault="00990EA1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EA1" w:rsidRDefault="008F672A">
    <w:pPr>
      <w:pStyle w:val="a4"/>
      <w:ind w:firstLine="482"/>
      <w:jc w:val="center"/>
    </w:pPr>
    <w:r>
      <w:rPr>
        <w:rFonts w:hint="eastAsia"/>
        <w:b/>
        <w:sz w:val="24"/>
        <w:szCs w:val="24"/>
      </w:rPr>
      <w:t>－</w:t>
    </w:r>
    <w:r w:rsidR="00990EA1">
      <w:rPr>
        <w:rFonts w:ascii="Arial" w:hAnsi="Arial" w:cs="Arial"/>
        <w:b/>
        <w:sz w:val="21"/>
        <w:szCs w:val="21"/>
      </w:rPr>
      <w:fldChar w:fldCharType="begin"/>
    </w:r>
    <w:r>
      <w:rPr>
        <w:rFonts w:ascii="Arial" w:hAnsi="Arial" w:cs="Arial"/>
        <w:b/>
        <w:sz w:val="21"/>
        <w:szCs w:val="21"/>
      </w:rPr>
      <w:instrText>PAGE</w:instrText>
    </w:r>
    <w:r w:rsidR="00990EA1">
      <w:rPr>
        <w:rFonts w:ascii="Arial" w:hAnsi="Arial" w:cs="Arial"/>
        <w:b/>
        <w:sz w:val="21"/>
        <w:szCs w:val="21"/>
      </w:rPr>
      <w:fldChar w:fldCharType="separate"/>
    </w:r>
    <w:r w:rsidR="006136E9">
      <w:rPr>
        <w:rFonts w:ascii="Arial" w:hAnsi="Arial" w:cs="Arial"/>
        <w:b/>
        <w:noProof/>
        <w:sz w:val="21"/>
        <w:szCs w:val="21"/>
      </w:rPr>
      <w:t>11</w:t>
    </w:r>
    <w:r w:rsidR="00990EA1">
      <w:rPr>
        <w:rFonts w:ascii="Arial" w:hAnsi="Arial" w:cs="Arial"/>
        <w:b/>
        <w:sz w:val="21"/>
        <w:szCs w:val="21"/>
      </w:rPr>
      <w:fldChar w:fldCharType="end"/>
    </w:r>
    <w:r>
      <w:rPr>
        <w:rFonts w:hint="eastAsia"/>
        <w:b/>
        <w:sz w:val="24"/>
        <w:szCs w:val="24"/>
      </w:rPr>
      <w:t>－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EA1" w:rsidRDefault="00990EA1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72A" w:rsidRDefault="008F672A" w:rsidP="00990EA1">
      <w:r>
        <w:separator/>
      </w:r>
    </w:p>
  </w:footnote>
  <w:footnote w:type="continuationSeparator" w:id="1">
    <w:p w:rsidR="008F672A" w:rsidRDefault="008F672A" w:rsidP="00990E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EA1" w:rsidRDefault="00990EA1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EA1" w:rsidRDefault="00990EA1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EA1" w:rsidRDefault="00990EA1">
    <w:pPr>
      <w:pStyle w:val="a5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1E64A"/>
    <w:multiLevelType w:val="singleLevel"/>
    <w:tmpl w:val="5711E64A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4A8E"/>
    <w:rsid w:val="0000396C"/>
    <w:rsid w:val="00014F8D"/>
    <w:rsid w:val="0002580F"/>
    <w:rsid w:val="00045381"/>
    <w:rsid w:val="00053B5E"/>
    <w:rsid w:val="00063E5A"/>
    <w:rsid w:val="00067E96"/>
    <w:rsid w:val="00071237"/>
    <w:rsid w:val="000722E1"/>
    <w:rsid w:val="000B0A22"/>
    <w:rsid w:val="000D6264"/>
    <w:rsid w:val="000D67F9"/>
    <w:rsid w:val="000D734F"/>
    <w:rsid w:val="000E0EFD"/>
    <w:rsid w:val="0010547A"/>
    <w:rsid w:val="001126DE"/>
    <w:rsid w:val="00121BEB"/>
    <w:rsid w:val="00121CF7"/>
    <w:rsid w:val="001313C1"/>
    <w:rsid w:val="0013198D"/>
    <w:rsid w:val="00132EED"/>
    <w:rsid w:val="001374CC"/>
    <w:rsid w:val="0014319B"/>
    <w:rsid w:val="0016239A"/>
    <w:rsid w:val="001738C6"/>
    <w:rsid w:val="00196737"/>
    <w:rsid w:val="001B2D55"/>
    <w:rsid w:val="001B405B"/>
    <w:rsid w:val="001C55ED"/>
    <w:rsid w:val="001C76D8"/>
    <w:rsid w:val="001C7DF1"/>
    <w:rsid w:val="001D0B9C"/>
    <w:rsid w:val="001F2ECD"/>
    <w:rsid w:val="001F6302"/>
    <w:rsid w:val="00221C69"/>
    <w:rsid w:val="0022273F"/>
    <w:rsid w:val="00223992"/>
    <w:rsid w:val="00280052"/>
    <w:rsid w:val="002831E7"/>
    <w:rsid w:val="00287575"/>
    <w:rsid w:val="00291D48"/>
    <w:rsid w:val="002E53F4"/>
    <w:rsid w:val="002F06C2"/>
    <w:rsid w:val="002F3363"/>
    <w:rsid w:val="002F7152"/>
    <w:rsid w:val="00302072"/>
    <w:rsid w:val="00312528"/>
    <w:rsid w:val="0032659A"/>
    <w:rsid w:val="00331212"/>
    <w:rsid w:val="003368E2"/>
    <w:rsid w:val="00342ACE"/>
    <w:rsid w:val="0034481E"/>
    <w:rsid w:val="00366933"/>
    <w:rsid w:val="003946BD"/>
    <w:rsid w:val="003B595F"/>
    <w:rsid w:val="003B62C4"/>
    <w:rsid w:val="003C0E07"/>
    <w:rsid w:val="003C55FC"/>
    <w:rsid w:val="003D12D8"/>
    <w:rsid w:val="003D554C"/>
    <w:rsid w:val="003D6D54"/>
    <w:rsid w:val="003E6AD9"/>
    <w:rsid w:val="003F0B3B"/>
    <w:rsid w:val="00404E19"/>
    <w:rsid w:val="0042466C"/>
    <w:rsid w:val="00427E6F"/>
    <w:rsid w:val="004428B6"/>
    <w:rsid w:val="00443EB8"/>
    <w:rsid w:val="00445114"/>
    <w:rsid w:val="00446B1E"/>
    <w:rsid w:val="00456DB2"/>
    <w:rsid w:val="004663EB"/>
    <w:rsid w:val="00474309"/>
    <w:rsid w:val="004908FF"/>
    <w:rsid w:val="00490C44"/>
    <w:rsid w:val="00490D3D"/>
    <w:rsid w:val="004A03D3"/>
    <w:rsid w:val="004A5F66"/>
    <w:rsid w:val="004C0935"/>
    <w:rsid w:val="004C441C"/>
    <w:rsid w:val="004C668D"/>
    <w:rsid w:val="004E3160"/>
    <w:rsid w:val="004E6C9F"/>
    <w:rsid w:val="004F2857"/>
    <w:rsid w:val="00512960"/>
    <w:rsid w:val="0051730E"/>
    <w:rsid w:val="00531E52"/>
    <w:rsid w:val="0054376C"/>
    <w:rsid w:val="00557DB6"/>
    <w:rsid w:val="00561D91"/>
    <w:rsid w:val="005625A1"/>
    <w:rsid w:val="00590662"/>
    <w:rsid w:val="005A23EB"/>
    <w:rsid w:val="005A750C"/>
    <w:rsid w:val="005B0C2A"/>
    <w:rsid w:val="005B7510"/>
    <w:rsid w:val="005C6820"/>
    <w:rsid w:val="005D2748"/>
    <w:rsid w:val="005D3D52"/>
    <w:rsid w:val="005E7021"/>
    <w:rsid w:val="005F2BCA"/>
    <w:rsid w:val="006136E9"/>
    <w:rsid w:val="006266A6"/>
    <w:rsid w:val="006500DF"/>
    <w:rsid w:val="00655CE1"/>
    <w:rsid w:val="00655FC1"/>
    <w:rsid w:val="00674220"/>
    <w:rsid w:val="00675927"/>
    <w:rsid w:val="006915FE"/>
    <w:rsid w:val="006C4007"/>
    <w:rsid w:val="006E4423"/>
    <w:rsid w:val="007009FC"/>
    <w:rsid w:val="007022E9"/>
    <w:rsid w:val="00713E89"/>
    <w:rsid w:val="0072314F"/>
    <w:rsid w:val="00742295"/>
    <w:rsid w:val="0075782C"/>
    <w:rsid w:val="00760D69"/>
    <w:rsid w:val="00762EFC"/>
    <w:rsid w:val="0077261D"/>
    <w:rsid w:val="00781171"/>
    <w:rsid w:val="007835E0"/>
    <w:rsid w:val="0078383A"/>
    <w:rsid w:val="00787EE9"/>
    <w:rsid w:val="0079157A"/>
    <w:rsid w:val="007942A0"/>
    <w:rsid w:val="007A2DC2"/>
    <w:rsid w:val="007B0008"/>
    <w:rsid w:val="007B443C"/>
    <w:rsid w:val="007B4E49"/>
    <w:rsid w:val="007D0245"/>
    <w:rsid w:val="007D620F"/>
    <w:rsid w:val="007D7671"/>
    <w:rsid w:val="007F6521"/>
    <w:rsid w:val="00823D36"/>
    <w:rsid w:val="00825C8A"/>
    <w:rsid w:val="00842795"/>
    <w:rsid w:val="00860953"/>
    <w:rsid w:val="00863D3A"/>
    <w:rsid w:val="00866C97"/>
    <w:rsid w:val="008727A8"/>
    <w:rsid w:val="0087620B"/>
    <w:rsid w:val="00877367"/>
    <w:rsid w:val="00885622"/>
    <w:rsid w:val="00885802"/>
    <w:rsid w:val="00890012"/>
    <w:rsid w:val="008921D4"/>
    <w:rsid w:val="00893F81"/>
    <w:rsid w:val="00895A40"/>
    <w:rsid w:val="008A35DA"/>
    <w:rsid w:val="008A47C8"/>
    <w:rsid w:val="008A4F79"/>
    <w:rsid w:val="008C0D0B"/>
    <w:rsid w:val="008F3807"/>
    <w:rsid w:val="008F672A"/>
    <w:rsid w:val="008F7BE8"/>
    <w:rsid w:val="00902D71"/>
    <w:rsid w:val="009138F9"/>
    <w:rsid w:val="00926A56"/>
    <w:rsid w:val="00955403"/>
    <w:rsid w:val="00965253"/>
    <w:rsid w:val="009664AF"/>
    <w:rsid w:val="00980BD5"/>
    <w:rsid w:val="009829F6"/>
    <w:rsid w:val="00990EA1"/>
    <w:rsid w:val="009D4755"/>
    <w:rsid w:val="009E33DB"/>
    <w:rsid w:val="009E412D"/>
    <w:rsid w:val="009F0E87"/>
    <w:rsid w:val="009F280A"/>
    <w:rsid w:val="009F4F41"/>
    <w:rsid w:val="00A0516B"/>
    <w:rsid w:val="00A141F0"/>
    <w:rsid w:val="00A16602"/>
    <w:rsid w:val="00A175D1"/>
    <w:rsid w:val="00A245FF"/>
    <w:rsid w:val="00A26AFC"/>
    <w:rsid w:val="00A3341D"/>
    <w:rsid w:val="00A374E2"/>
    <w:rsid w:val="00A45175"/>
    <w:rsid w:val="00A611F5"/>
    <w:rsid w:val="00A731F2"/>
    <w:rsid w:val="00A8613A"/>
    <w:rsid w:val="00A871BD"/>
    <w:rsid w:val="00A9678D"/>
    <w:rsid w:val="00AB6999"/>
    <w:rsid w:val="00AC016C"/>
    <w:rsid w:val="00AC32DE"/>
    <w:rsid w:val="00AD185D"/>
    <w:rsid w:val="00AE1E13"/>
    <w:rsid w:val="00AE4383"/>
    <w:rsid w:val="00B0686B"/>
    <w:rsid w:val="00B06E86"/>
    <w:rsid w:val="00B135B5"/>
    <w:rsid w:val="00B355BF"/>
    <w:rsid w:val="00B50B06"/>
    <w:rsid w:val="00B65C92"/>
    <w:rsid w:val="00B8368D"/>
    <w:rsid w:val="00B83ABC"/>
    <w:rsid w:val="00BA02F4"/>
    <w:rsid w:val="00BA1FA2"/>
    <w:rsid w:val="00BB7F44"/>
    <w:rsid w:val="00BC22FC"/>
    <w:rsid w:val="00BC297B"/>
    <w:rsid w:val="00BC4C4B"/>
    <w:rsid w:val="00BD1569"/>
    <w:rsid w:val="00BF1F0B"/>
    <w:rsid w:val="00C049CB"/>
    <w:rsid w:val="00C101E7"/>
    <w:rsid w:val="00C1573F"/>
    <w:rsid w:val="00C16682"/>
    <w:rsid w:val="00C17609"/>
    <w:rsid w:val="00C268CE"/>
    <w:rsid w:val="00C359CB"/>
    <w:rsid w:val="00C82E51"/>
    <w:rsid w:val="00CA71E9"/>
    <w:rsid w:val="00CC196A"/>
    <w:rsid w:val="00CD61FA"/>
    <w:rsid w:val="00CE4DDF"/>
    <w:rsid w:val="00D13682"/>
    <w:rsid w:val="00D255AE"/>
    <w:rsid w:val="00D35238"/>
    <w:rsid w:val="00D42FE2"/>
    <w:rsid w:val="00D51828"/>
    <w:rsid w:val="00D56461"/>
    <w:rsid w:val="00D62947"/>
    <w:rsid w:val="00D73FB9"/>
    <w:rsid w:val="00D75082"/>
    <w:rsid w:val="00D813EB"/>
    <w:rsid w:val="00D84A8E"/>
    <w:rsid w:val="00D852B2"/>
    <w:rsid w:val="00D9054A"/>
    <w:rsid w:val="00D9071A"/>
    <w:rsid w:val="00D920E8"/>
    <w:rsid w:val="00DA7CF2"/>
    <w:rsid w:val="00DD1392"/>
    <w:rsid w:val="00DF4BBF"/>
    <w:rsid w:val="00E1743B"/>
    <w:rsid w:val="00E3306E"/>
    <w:rsid w:val="00E53BC4"/>
    <w:rsid w:val="00E60FB5"/>
    <w:rsid w:val="00E843F6"/>
    <w:rsid w:val="00E91D5F"/>
    <w:rsid w:val="00E96CD5"/>
    <w:rsid w:val="00EA7A53"/>
    <w:rsid w:val="00EB4CDE"/>
    <w:rsid w:val="00EC22E6"/>
    <w:rsid w:val="00EF0B41"/>
    <w:rsid w:val="00F0012A"/>
    <w:rsid w:val="00F006CE"/>
    <w:rsid w:val="00F075F4"/>
    <w:rsid w:val="00F5057A"/>
    <w:rsid w:val="00F50F98"/>
    <w:rsid w:val="00F6480A"/>
    <w:rsid w:val="00F67AB7"/>
    <w:rsid w:val="00F83ECE"/>
    <w:rsid w:val="00F84841"/>
    <w:rsid w:val="00F91A31"/>
    <w:rsid w:val="00FB50AD"/>
    <w:rsid w:val="00FB5338"/>
    <w:rsid w:val="00FC11B7"/>
    <w:rsid w:val="00FC58E4"/>
    <w:rsid w:val="00FD2D41"/>
    <w:rsid w:val="00FD2F56"/>
    <w:rsid w:val="00FD4F8E"/>
    <w:rsid w:val="00FF4EAA"/>
    <w:rsid w:val="00FF517E"/>
    <w:rsid w:val="00FF5A03"/>
    <w:rsid w:val="048E5A60"/>
    <w:rsid w:val="082F6445"/>
    <w:rsid w:val="09E86CB7"/>
    <w:rsid w:val="0AC16451"/>
    <w:rsid w:val="0E4B604E"/>
    <w:rsid w:val="119C014B"/>
    <w:rsid w:val="19FE2F8C"/>
    <w:rsid w:val="1B2F6F91"/>
    <w:rsid w:val="206873A1"/>
    <w:rsid w:val="232C7BA1"/>
    <w:rsid w:val="25F11A98"/>
    <w:rsid w:val="29E0317B"/>
    <w:rsid w:val="2F6A1D76"/>
    <w:rsid w:val="33BB61AF"/>
    <w:rsid w:val="34D239BC"/>
    <w:rsid w:val="369D21F7"/>
    <w:rsid w:val="392A25A7"/>
    <w:rsid w:val="3A52278B"/>
    <w:rsid w:val="3E2415A6"/>
    <w:rsid w:val="3E8734B9"/>
    <w:rsid w:val="40527947"/>
    <w:rsid w:val="40F00C22"/>
    <w:rsid w:val="43B13AD9"/>
    <w:rsid w:val="43FF485A"/>
    <w:rsid w:val="59F51ADB"/>
    <w:rsid w:val="5A005202"/>
    <w:rsid w:val="5CF31959"/>
    <w:rsid w:val="65866F5A"/>
    <w:rsid w:val="6B947678"/>
    <w:rsid w:val="73D91A48"/>
    <w:rsid w:val="76FF21F5"/>
    <w:rsid w:val="79883126"/>
    <w:rsid w:val="7E386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EA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990E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90E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990E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990EA1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90EA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990EA1"/>
    <w:rPr>
      <w:sz w:val="18"/>
      <w:szCs w:val="18"/>
    </w:rPr>
  </w:style>
  <w:style w:type="paragraph" w:customStyle="1" w:styleId="Default">
    <w:name w:val="Default"/>
    <w:qFormat/>
    <w:rsid w:val="00990EA1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551</Words>
  <Characters>3142</Characters>
  <Application>Microsoft Office Word</Application>
  <DocSecurity>0</DocSecurity>
  <Lines>26</Lines>
  <Paragraphs>7</Paragraphs>
  <ScaleCrop>false</ScaleCrop>
  <Company>Microsoft</Company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周亮辉 10.104.93.85</dc:creator>
  <cp:lastModifiedBy>gk</cp:lastModifiedBy>
  <cp:revision>2</cp:revision>
  <cp:lastPrinted>2019-09-05T07:51:00Z</cp:lastPrinted>
  <dcterms:created xsi:type="dcterms:W3CDTF">2021-06-03T10:58:00Z</dcterms:created>
  <dcterms:modified xsi:type="dcterms:W3CDTF">2021-06-03T10:58:00Z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6F45BED0B0604ABB9717B688144B1B49</vt:lpwstr>
  </property>
</Properties>
</file>