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9B5" w:rsidRDefault="001739B5">
      <w:pPr>
        <w:widowControl/>
        <w:jc w:val="center"/>
        <w:rPr>
          <w:rFonts w:ascii="Times New Roman" w:eastAsia="宋体" w:hAnsi="Times New Roman" w:cs="Times New Roman"/>
          <w:b/>
          <w:bCs/>
          <w:kern w:val="0"/>
          <w:sz w:val="44"/>
          <w:szCs w:val="44"/>
        </w:rPr>
      </w:pPr>
      <w:bookmarkStart w:id="0" w:name="_GoBack"/>
      <w:bookmarkEnd w:id="0"/>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3502D8">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鹤城区委统战部</w:t>
      </w:r>
    </w:p>
    <w:p w:rsidR="001739B5" w:rsidRDefault="003502D8">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1739B5">
      <w:pPr>
        <w:widowControl/>
        <w:jc w:val="center"/>
        <w:rPr>
          <w:rFonts w:ascii="Times New Roman" w:eastAsia="宋体" w:hAnsi="Times New Roman" w:cs="Times New Roman"/>
          <w:b/>
          <w:bCs/>
          <w:kern w:val="0"/>
          <w:sz w:val="44"/>
          <w:szCs w:val="44"/>
        </w:rPr>
      </w:pPr>
    </w:p>
    <w:p w:rsidR="001739B5" w:rsidRDefault="003502D8">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1739B5" w:rsidRDefault="001739B5">
      <w:pPr>
        <w:widowControl/>
        <w:rPr>
          <w:rFonts w:ascii="仿宋_GB2312" w:eastAsia="仿宋_GB2312" w:hAnsi="Times New Roman" w:cs="Times New Roman"/>
          <w:b/>
          <w:bCs/>
          <w:kern w:val="0"/>
          <w:sz w:val="32"/>
          <w:szCs w:val="32"/>
        </w:rPr>
      </w:pPr>
    </w:p>
    <w:p w:rsidR="001739B5" w:rsidRDefault="003502D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鹤城区委统战部概况</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1739B5" w:rsidRDefault="003502D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鹤城区委统战部</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1739B5" w:rsidRDefault="003502D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鹤城区委统战部</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w:t>
      </w:r>
      <w:r>
        <w:rPr>
          <w:rFonts w:ascii="Times New Roman" w:eastAsia="仿宋_GB2312" w:hAnsi="Times New Roman" w:cs="Times New Roman"/>
          <w:bCs/>
          <w:kern w:val="0"/>
          <w:sz w:val="32"/>
          <w:szCs w:val="32"/>
        </w:rPr>
        <w:t xml:space="preserve"> “</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八、政府性基金预算收入支出决算情况</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九、预算绩效情况说明</w:t>
      </w:r>
    </w:p>
    <w:p w:rsidR="001739B5" w:rsidRDefault="003502D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w:t>
      </w:r>
      <w:r w:rsidR="0056646E">
        <w:rPr>
          <w:rFonts w:ascii="Times New Roman" w:eastAsia="仿宋_GB2312" w:hAnsi="Times New Roman" w:cs="Times New Roman"/>
          <w:bCs/>
          <w:kern w:val="0"/>
          <w:sz w:val="32"/>
          <w:szCs w:val="32"/>
        </w:rPr>
        <w:t>的情况说明</w:t>
      </w:r>
    </w:p>
    <w:p w:rsidR="001739B5" w:rsidRDefault="003502D8">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1739B5">
      <w:pPr>
        <w:widowControl/>
        <w:spacing w:line="600" w:lineRule="exact"/>
        <w:rPr>
          <w:rFonts w:ascii="Times New Roman" w:eastAsia="仿宋_GB2312" w:hAnsi="Times New Roman" w:cs="Times New Roman"/>
          <w:b/>
          <w:bCs/>
          <w:kern w:val="0"/>
          <w:sz w:val="32"/>
          <w:szCs w:val="32"/>
        </w:rPr>
      </w:pPr>
    </w:p>
    <w:p w:rsidR="001739B5" w:rsidRDefault="003502D8">
      <w:pPr>
        <w:spacing w:line="600" w:lineRule="exact"/>
        <w:jc w:val="center"/>
        <w:rPr>
          <w:rFonts w:eastAsia="黑体"/>
          <w:bCs/>
          <w:kern w:val="0"/>
          <w:sz w:val="36"/>
          <w:szCs w:val="36"/>
        </w:rPr>
      </w:pPr>
      <w:r>
        <w:rPr>
          <w:rFonts w:eastAsia="黑体"/>
          <w:bCs/>
          <w:kern w:val="0"/>
          <w:sz w:val="36"/>
          <w:szCs w:val="36"/>
        </w:rPr>
        <w:lastRenderedPageBreak/>
        <w:t>第一部分</w:t>
      </w:r>
      <w:r>
        <w:rPr>
          <w:rFonts w:eastAsia="黑体"/>
          <w:bCs/>
          <w:kern w:val="0"/>
          <w:sz w:val="36"/>
          <w:szCs w:val="36"/>
        </w:rPr>
        <w:t xml:space="preserve">  </w:t>
      </w:r>
      <w:r>
        <w:rPr>
          <w:rFonts w:eastAsia="黑体" w:hint="eastAsia"/>
          <w:bCs/>
          <w:kern w:val="0"/>
          <w:sz w:val="36"/>
          <w:szCs w:val="36"/>
        </w:rPr>
        <w:t>鹤城区委统战部</w:t>
      </w:r>
      <w:r>
        <w:rPr>
          <w:rFonts w:eastAsia="黑体"/>
          <w:bCs/>
          <w:kern w:val="0"/>
          <w:sz w:val="36"/>
          <w:szCs w:val="36"/>
        </w:rPr>
        <w:t>概况</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一、部门职责</w:t>
      </w:r>
    </w:p>
    <w:p w:rsidR="001739B5" w:rsidRDefault="003502D8">
      <w:pPr>
        <w:ind w:firstLineChars="196" w:firstLine="627"/>
        <w:rPr>
          <w:rFonts w:ascii="仿宋" w:eastAsia="仿宋" w:hAnsi="仿宋"/>
          <w:b/>
          <w:sz w:val="32"/>
          <w:szCs w:val="32"/>
        </w:rPr>
      </w:pPr>
      <w:r>
        <w:rPr>
          <w:rFonts w:ascii="仿宋" w:eastAsia="仿宋" w:hAnsi="仿宋" w:hint="eastAsia"/>
          <w:sz w:val="32"/>
          <w:szCs w:val="32"/>
        </w:rPr>
        <w:t>调查研究和宣传统一战线的理论方针、政策；负责联系各民主党派和无党派代表人士；负责党外人士的政治安排；调查研究并反映我区非公有制经济代表人士的情况；承办区委交办的其他工作。</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二、机构设置</w:t>
      </w:r>
      <w:r>
        <w:rPr>
          <w:rFonts w:ascii="Times New Roman" w:eastAsia="仿宋_GB2312" w:hAnsi="Times New Roman" w:cs="Times New Roman" w:hint="eastAsia"/>
          <w:b/>
          <w:bCs/>
          <w:kern w:val="0"/>
          <w:sz w:val="32"/>
          <w:szCs w:val="32"/>
        </w:rPr>
        <w:t>及决算单位构成</w:t>
      </w:r>
    </w:p>
    <w:p w:rsidR="001739B5" w:rsidRDefault="003502D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（一）内设机构设置。</w:t>
      </w:r>
    </w:p>
    <w:p w:rsidR="001739B5" w:rsidRDefault="003502D8">
      <w:pPr>
        <w:widowControl/>
        <w:spacing w:line="600" w:lineRule="exact"/>
        <w:ind w:firstLineChars="200" w:firstLine="640"/>
        <w:jc w:val="left"/>
        <w:rPr>
          <w:rFonts w:ascii="仿宋" w:eastAsia="仿宋" w:hAnsi="仿宋"/>
          <w:kern w:val="0"/>
          <w:sz w:val="32"/>
          <w:szCs w:val="32"/>
        </w:rPr>
      </w:pPr>
      <w:r>
        <w:rPr>
          <w:rFonts w:ascii="Times New Roman" w:eastAsia="仿宋_GB2312" w:hAnsi="Times New Roman" w:cs="Times New Roman" w:hint="eastAsia"/>
          <w:bCs/>
          <w:kern w:val="0"/>
          <w:sz w:val="32"/>
          <w:szCs w:val="32"/>
        </w:rPr>
        <w:t>鹤城区委统战部内设机构包括：</w:t>
      </w:r>
      <w:r>
        <w:rPr>
          <w:rFonts w:ascii="仿宋" w:eastAsia="仿宋" w:hAnsi="仿宋" w:hint="eastAsia"/>
          <w:sz w:val="32"/>
          <w:szCs w:val="32"/>
        </w:rPr>
        <w:t>区委统战部作为一级部门预算单位，内设4个职能股室，分别为：办公室、干部组、党派经济联络组、非公有制经济和新的社会阶层人士管理办公室（加挂民主党派与党外知识分子管理办公室）。</w:t>
      </w:r>
    </w:p>
    <w:p w:rsidR="001739B5" w:rsidRDefault="003502D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w:t>
      </w:r>
    </w:p>
    <w:p w:rsidR="001739B5" w:rsidRDefault="003502D8">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鹤城区委统战部</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年部门决算汇总公开单位构成包括：鹤城区委统战部</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p>
    <w:p w:rsidR="001739B5" w:rsidRDefault="001739B5">
      <w:pPr>
        <w:widowControl/>
        <w:spacing w:line="600" w:lineRule="exact"/>
        <w:jc w:val="center"/>
        <w:rPr>
          <w:rFonts w:ascii="Times New Roman" w:eastAsia="黑体" w:hAnsi="Times New Roman" w:cs="Times New Roman"/>
          <w:bCs/>
          <w:kern w:val="0"/>
          <w:sz w:val="32"/>
          <w:szCs w:val="32"/>
        </w:rPr>
      </w:pPr>
    </w:p>
    <w:p w:rsidR="001739B5" w:rsidRDefault="001739B5">
      <w:pPr>
        <w:spacing w:line="600" w:lineRule="exact"/>
        <w:jc w:val="center"/>
        <w:rPr>
          <w:rFonts w:eastAsia="黑体"/>
          <w:bCs/>
          <w:kern w:val="0"/>
          <w:sz w:val="36"/>
          <w:szCs w:val="36"/>
        </w:rPr>
        <w:sectPr w:rsidR="001739B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1739B5" w:rsidRDefault="003502D8">
      <w:pPr>
        <w:spacing w:line="600" w:lineRule="exact"/>
        <w:jc w:val="center"/>
        <w:rPr>
          <w:rFonts w:eastAsia="黑体"/>
          <w:bCs/>
          <w:kern w:val="0"/>
          <w:sz w:val="36"/>
          <w:szCs w:val="36"/>
        </w:rPr>
      </w:pPr>
      <w:r>
        <w:rPr>
          <w:rFonts w:eastAsia="黑体"/>
          <w:bCs/>
          <w:kern w:val="0"/>
          <w:sz w:val="36"/>
          <w:szCs w:val="36"/>
        </w:rPr>
        <w:lastRenderedPageBreak/>
        <w:t>第二部分</w:t>
      </w:r>
      <w:r>
        <w:rPr>
          <w:rFonts w:eastAsia="黑体"/>
          <w:bCs/>
          <w:kern w:val="0"/>
          <w:sz w:val="36"/>
          <w:szCs w:val="36"/>
        </w:rPr>
        <w:t xml:space="preserve">  </w:t>
      </w:r>
      <w:r>
        <w:rPr>
          <w:rFonts w:eastAsia="黑体" w:hint="eastAsia"/>
          <w:bCs/>
          <w:kern w:val="0"/>
          <w:sz w:val="36"/>
          <w:szCs w:val="36"/>
        </w:rPr>
        <w:t>鹤城区委统战部</w:t>
      </w:r>
      <w:r>
        <w:rPr>
          <w:rFonts w:eastAsia="黑体"/>
          <w:bCs/>
          <w:kern w:val="0"/>
          <w:sz w:val="36"/>
          <w:szCs w:val="36"/>
        </w:rPr>
        <w:t>201</w:t>
      </w:r>
      <w:r>
        <w:rPr>
          <w:rFonts w:eastAsia="黑体" w:hint="eastAsia"/>
          <w:bCs/>
          <w:kern w:val="0"/>
          <w:sz w:val="36"/>
          <w:szCs w:val="36"/>
        </w:rPr>
        <w:t>8</w:t>
      </w:r>
      <w:r>
        <w:rPr>
          <w:rFonts w:eastAsia="黑体"/>
          <w:bCs/>
          <w:kern w:val="0"/>
          <w:sz w:val="36"/>
          <w:szCs w:val="36"/>
        </w:rPr>
        <w:t>年度</w:t>
      </w:r>
    </w:p>
    <w:p w:rsidR="001739B5" w:rsidRDefault="003502D8">
      <w:pPr>
        <w:spacing w:line="600" w:lineRule="exact"/>
        <w:jc w:val="center"/>
        <w:rPr>
          <w:rFonts w:eastAsia="黑体"/>
          <w:bCs/>
          <w:kern w:val="0"/>
          <w:sz w:val="36"/>
          <w:szCs w:val="36"/>
        </w:rPr>
      </w:pPr>
      <w:r>
        <w:rPr>
          <w:rFonts w:eastAsia="黑体"/>
          <w:bCs/>
          <w:kern w:val="0"/>
          <w:sz w:val="36"/>
          <w:szCs w:val="36"/>
        </w:rPr>
        <w:t>部门决算表</w:t>
      </w:r>
    </w:p>
    <w:p w:rsidR="001739B5" w:rsidRDefault="003502D8">
      <w:pPr>
        <w:widowControl/>
        <w:spacing w:line="600" w:lineRule="exact"/>
        <w:jc w:val="lef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 xml:space="preserve">    </w:t>
      </w:r>
      <w:r>
        <w:rPr>
          <w:rFonts w:ascii="仿宋" w:eastAsia="仿宋" w:hAnsi="仿宋" w:hint="eastAsia"/>
          <w:sz w:val="32"/>
          <w:szCs w:val="32"/>
        </w:rPr>
        <w:t>本次公开2018年度部门决算汇总表共8张，分别是《收入支出决算总表》、《收入决算表》、《支出决算表》、《财政拨款收入支出决算表》、《一般公共预算财政拨款收入支出决算表》、《一般公共预算财政拨款基本支出决算表》、《一般公共预算财政拨款“三公”经费支出决算表》和《政府性基金预算财政拨款收入支出决算表》公开表格及详细数据附后。(公开表格附后)</w:t>
      </w:r>
    </w:p>
    <w:p w:rsidR="001739B5" w:rsidRDefault="001739B5">
      <w:pPr>
        <w:spacing w:line="600" w:lineRule="exact"/>
        <w:jc w:val="center"/>
        <w:rPr>
          <w:rFonts w:eastAsia="黑体"/>
          <w:bCs/>
          <w:kern w:val="0"/>
          <w:sz w:val="36"/>
          <w:szCs w:val="36"/>
        </w:rPr>
      </w:pPr>
    </w:p>
    <w:p w:rsidR="001739B5" w:rsidRDefault="001739B5">
      <w:pPr>
        <w:spacing w:line="600" w:lineRule="exact"/>
        <w:jc w:val="center"/>
        <w:rPr>
          <w:rFonts w:eastAsia="黑体"/>
          <w:bCs/>
          <w:kern w:val="0"/>
          <w:sz w:val="36"/>
          <w:szCs w:val="36"/>
        </w:rPr>
        <w:sectPr w:rsidR="001739B5">
          <w:pgSz w:w="11906" w:h="16838"/>
          <w:pgMar w:top="1440" w:right="1800" w:bottom="1440" w:left="1800" w:header="851" w:footer="992" w:gutter="0"/>
          <w:cols w:space="425"/>
          <w:docGrid w:type="lines" w:linePitch="312"/>
        </w:sectPr>
      </w:pPr>
    </w:p>
    <w:p w:rsidR="001739B5" w:rsidRDefault="003502D8">
      <w:pPr>
        <w:spacing w:line="600" w:lineRule="exact"/>
        <w:jc w:val="center"/>
        <w:rPr>
          <w:rFonts w:eastAsia="黑体"/>
          <w:bCs/>
          <w:kern w:val="0"/>
          <w:sz w:val="36"/>
          <w:szCs w:val="36"/>
        </w:rPr>
      </w:pPr>
      <w:r>
        <w:rPr>
          <w:rFonts w:eastAsia="黑体"/>
          <w:bCs/>
          <w:kern w:val="0"/>
          <w:sz w:val="36"/>
          <w:szCs w:val="36"/>
        </w:rPr>
        <w:lastRenderedPageBreak/>
        <w:t>第三部分</w:t>
      </w:r>
      <w:r>
        <w:rPr>
          <w:rFonts w:eastAsia="黑体"/>
          <w:bCs/>
          <w:kern w:val="0"/>
          <w:sz w:val="36"/>
          <w:szCs w:val="36"/>
        </w:rPr>
        <w:t xml:space="preserve">  </w:t>
      </w:r>
      <w:r>
        <w:rPr>
          <w:rFonts w:eastAsia="黑体" w:hint="eastAsia"/>
          <w:bCs/>
          <w:kern w:val="0"/>
          <w:sz w:val="36"/>
          <w:szCs w:val="36"/>
        </w:rPr>
        <w:t>鹤城区委统战部</w:t>
      </w:r>
      <w:r>
        <w:rPr>
          <w:rFonts w:eastAsia="黑体"/>
          <w:bCs/>
          <w:kern w:val="0"/>
          <w:sz w:val="36"/>
          <w:szCs w:val="36"/>
        </w:rPr>
        <w:t>201</w:t>
      </w:r>
      <w:r>
        <w:rPr>
          <w:rFonts w:eastAsia="黑体" w:hint="eastAsia"/>
          <w:bCs/>
          <w:kern w:val="0"/>
          <w:sz w:val="36"/>
          <w:szCs w:val="36"/>
        </w:rPr>
        <w:t>8</w:t>
      </w:r>
      <w:r>
        <w:rPr>
          <w:rFonts w:eastAsia="黑体"/>
          <w:bCs/>
          <w:kern w:val="0"/>
          <w:sz w:val="36"/>
          <w:szCs w:val="36"/>
        </w:rPr>
        <w:t>年度</w:t>
      </w:r>
    </w:p>
    <w:p w:rsidR="001739B5" w:rsidRDefault="003502D8">
      <w:pPr>
        <w:spacing w:line="600" w:lineRule="exact"/>
        <w:jc w:val="center"/>
        <w:rPr>
          <w:rFonts w:eastAsia="黑体"/>
          <w:bCs/>
          <w:kern w:val="0"/>
          <w:sz w:val="36"/>
          <w:szCs w:val="36"/>
        </w:rPr>
      </w:pPr>
      <w:r>
        <w:rPr>
          <w:rFonts w:eastAsia="黑体"/>
          <w:bCs/>
          <w:kern w:val="0"/>
          <w:sz w:val="36"/>
          <w:szCs w:val="36"/>
        </w:rPr>
        <w:t>部门决算情况说明</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一、收入支出决算总体情况说明</w:t>
      </w:r>
    </w:p>
    <w:p w:rsidR="001739B5" w:rsidRDefault="003502D8">
      <w:pPr>
        <w:widowControl/>
        <w:spacing w:line="600" w:lineRule="exact"/>
        <w:ind w:firstLineChars="150" w:firstLine="480"/>
        <w:rPr>
          <w:rFonts w:ascii="仿宋" w:eastAsia="仿宋" w:hAnsi="仿宋"/>
          <w:sz w:val="32"/>
          <w:szCs w:val="32"/>
        </w:rPr>
      </w:pPr>
      <w:r>
        <w:rPr>
          <w:rFonts w:ascii="仿宋" w:eastAsia="仿宋" w:hAnsi="仿宋" w:hint="eastAsia"/>
          <w:sz w:val="32"/>
          <w:szCs w:val="32"/>
        </w:rPr>
        <w:t>2018年度本部门收入191.32万元，去年度本部门收入232.85万元，本年度与上年度相比，减少了41.53万元，减少17.84%，主要原因是：</w:t>
      </w:r>
      <w:r w:rsidR="008C21EF">
        <w:rPr>
          <w:rFonts w:ascii="仿宋" w:eastAsia="仿宋" w:hAnsi="仿宋" w:hint="eastAsia"/>
          <w:sz w:val="32"/>
          <w:szCs w:val="32"/>
        </w:rPr>
        <w:t>减少</w:t>
      </w:r>
      <w:r>
        <w:rPr>
          <w:rFonts w:ascii="仿宋" w:eastAsia="仿宋" w:hAnsi="仿宋" w:hint="eastAsia"/>
          <w:sz w:val="32"/>
          <w:szCs w:val="32"/>
        </w:rPr>
        <w:t>人员经费。</w:t>
      </w:r>
    </w:p>
    <w:p w:rsidR="001739B5" w:rsidRDefault="003502D8">
      <w:pPr>
        <w:widowControl/>
        <w:spacing w:line="600" w:lineRule="exact"/>
        <w:ind w:firstLineChars="150" w:firstLine="480"/>
        <w:rPr>
          <w:rFonts w:ascii="仿宋" w:eastAsia="仿宋" w:hAnsi="仿宋"/>
          <w:sz w:val="32"/>
          <w:szCs w:val="32"/>
        </w:rPr>
      </w:pPr>
      <w:r>
        <w:rPr>
          <w:rFonts w:ascii="仿宋" w:eastAsia="仿宋" w:hAnsi="仿宋" w:hint="eastAsia"/>
          <w:sz w:val="32"/>
          <w:szCs w:val="32"/>
        </w:rPr>
        <w:t>2018年度本部门支出</w:t>
      </w:r>
      <w:r>
        <w:rPr>
          <w:rFonts w:ascii="仿宋" w:eastAsia="仿宋" w:hAnsi="仿宋"/>
          <w:sz w:val="32"/>
          <w:szCs w:val="32"/>
        </w:rPr>
        <w:t>204.88</w:t>
      </w:r>
      <w:r>
        <w:rPr>
          <w:rFonts w:ascii="仿宋" w:eastAsia="仿宋" w:hAnsi="仿宋" w:hint="eastAsia"/>
          <w:sz w:val="32"/>
          <w:szCs w:val="32"/>
        </w:rPr>
        <w:t>万元，去年度本部门支出185.46万元，本年度与上年度相比，增加19.4万元，增加10.4</w:t>
      </w:r>
      <w:r w:rsidR="008C21EF">
        <w:rPr>
          <w:rFonts w:ascii="仿宋" w:eastAsia="仿宋" w:hAnsi="仿宋" w:hint="eastAsia"/>
          <w:sz w:val="32"/>
          <w:szCs w:val="32"/>
        </w:rPr>
        <w:t>6</w:t>
      </w:r>
      <w:r>
        <w:rPr>
          <w:rFonts w:ascii="仿宋" w:eastAsia="仿宋" w:hAnsi="仿宋" w:hint="eastAsia"/>
          <w:sz w:val="32"/>
          <w:szCs w:val="32"/>
        </w:rPr>
        <w:t>%，主要原因是：增加专项工作经费。</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二、收入决算情况说明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2018年度本部门收入191.32万元，去年度本部门收入232.85万元，本年度与上年度相比，减少了41.53万元，减少</w:t>
      </w:r>
      <w:r w:rsidR="008C21EF">
        <w:rPr>
          <w:rFonts w:ascii="仿宋" w:eastAsia="仿宋" w:hAnsi="仿宋" w:hint="eastAsia"/>
          <w:sz w:val="32"/>
          <w:szCs w:val="32"/>
        </w:rPr>
        <w:t>17.84</w:t>
      </w:r>
      <w:r>
        <w:rPr>
          <w:rFonts w:ascii="仿宋" w:eastAsia="仿宋" w:hAnsi="仿宋" w:hint="eastAsia"/>
          <w:sz w:val="32"/>
          <w:szCs w:val="32"/>
        </w:rPr>
        <w:t>%，其中财政拨款收入191.32万元，占比100%；上级补助收入0万元，事业收入0万元，其他收入0万元。</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三、支出决算情况说明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2018年度本部门支出</w:t>
      </w:r>
      <w:r>
        <w:rPr>
          <w:rFonts w:ascii="仿宋" w:eastAsia="仿宋" w:hAnsi="仿宋"/>
          <w:sz w:val="32"/>
          <w:szCs w:val="32"/>
        </w:rPr>
        <w:t>204.88</w:t>
      </w:r>
      <w:r>
        <w:rPr>
          <w:rFonts w:ascii="仿宋" w:eastAsia="仿宋" w:hAnsi="仿宋" w:hint="eastAsia"/>
          <w:sz w:val="32"/>
          <w:szCs w:val="32"/>
        </w:rPr>
        <w:t>万元，基本支出</w:t>
      </w:r>
      <w:r>
        <w:rPr>
          <w:rFonts w:ascii="仿宋" w:eastAsia="仿宋" w:hAnsi="仿宋"/>
          <w:sz w:val="32"/>
          <w:szCs w:val="32"/>
        </w:rPr>
        <w:t>160.42</w:t>
      </w:r>
      <w:r>
        <w:rPr>
          <w:rFonts w:ascii="仿宋" w:eastAsia="仿宋" w:hAnsi="仿宋" w:hint="eastAsia"/>
          <w:sz w:val="32"/>
          <w:szCs w:val="32"/>
        </w:rPr>
        <w:t>万元，占比78.3%；项目支出</w:t>
      </w:r>
      <w:r>
        <w:rPr>
          <w:rFonts w:ascii="仿宋" w:eastAsia="仿宋" w:hAnsi="仿宋"/>
          <w:sz w:val="32"/>
          <w:szCs w:val="32"/>
        </w:rPr>
        <w:t>44.46</w:t>
      </w:r>
      <w:r>
        <w:rPr>
          <w:rFonts w:ascii="仿宋" w:eastAsia="仿宋" w:hAnsi="仿宋" w:hint="eastAsia"/>
          <w:sz w:val="32"/>
          <w:szCs w:val="32"/>
        </w:rPr>
        <w:t>万元，占比21.7%。</w:t>
      </w:r>
      <w:r>
        <w:rPr>
          <w:rFonts w:ascii="仿宋" w:eastAsia="仿宋" w:hAnsi="仿宋"/>
          <w:sz w:val="32"/>
          <w:szCs w:val="32"/>
        </w:rPr>
        <w:t xml:space="preserve"> </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四、财政拨款收入支出决算总体情况说明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2018年度本部门</w:t>
      </w:r>
      <w:r>
        <w:rPr>
          <w:rFonts w:ascii="仿宋" w:eastAsia="仿宋" w:hAnsi="仿宋"/>
          <w:sz w:val="32"/>
          <w:szCs w:val="32"/>
        </w:rPr>
        <w:t>财政拨款</w:t>
      </w:r>
      <w:r>
        <w:rPr>
          <w:rFonts w:ascii="仿宋" w:eastAsia="仿宋" w:hAnsi="仿宋" w:hint="eastAsia"/>
          <w:sz w:val="32"/>
          <w:szCs w:val="32"/>
        </w:rPr>
        <w:t>收入</w:t>
      </w:r>
      <w:r>
        <w:rPr>
          <w:rFonts w:ascii="仿宋" w:eastAsia="仿宋" w:hAnsi="仿宋"/>
          <w:sz w:val="32"/>
          <w:szCs w:val="32"/>
        </w:rPr>
        <w:t>191.32</w:t>
      </w:r>
      <w:r>
        <w:rPr>
          <w:rFonts w:ascii="仿宋" w:eastAsia="仿宋" w:hAnsi="仿宋" w:hint="eastAsia"/>
          <w:sz w:val="32"/>
          <w:szCs w:val="32"/>
        </w:rPr>
        <w:t>万元，与上年相比减少41.53万元，减少17.84%，主要原因是一般公共预算财政拨款的减少。</w:t>
      </w:r>
    </w:p>
    <w:p w:rsidR="008C21EF" w:rsidRDefault="003502D8" w:rsidP="008C21EF">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2018年度本部门</w:t>
      </w:r>
      <w:r>
        <w:rPr>
          <w:rFonts w:ascii="仿宋" w:eastAsia="仿宋" w:hAnsi="仿宋"/>
          <w:sz w:val="32"/>
          <w:szCs w:val="32"/>
        </w:rPr>
        <w:t>财政拨款</w:t>
      </w:r>
      <w:r>
        <w:rPr>
          <w:rFonts w:ascii="仿宋" w:eastAsia="仿宋" w:hAnsi="仿宋" w:hint="eastAsia"/>
          <w:sz w:val="32"/>
          <w:szCs w:val="32"/>
        </w:rPr>
        <w:t>支出</w:t>
      </w:r>
      <w:r>
        <w:rPr>
          <w:rFonts w:ascii="仿宋" w:eastAsia="仿宋" w:hAnsi="仿宋"/>
          <w:sz w:val="32"/>
          <w:szCs w:val="32"/>
        </w:rPr>
        <w:t>204.88</w:t>
      </w:r>
      <w:r>
        <w:rPr>
          <w:rFonts w:ascii="仿宋" w:eastAsia="仿宋" w:hAnsi="仿宋" w:hint="eastAsia"/>
          <w:sz w:val="32"/>
          <w:szCs w:val="32"/>
        </w:rPr>
        <w:t>万元，与上年相比，增加19.4万元，增加10.46%,主要原因是</w:t>
      </w:r>
      <w:r w:rsidR="008C21EF">
        <w:rPr>
          <w:rFonts w:ascii="仿宋" w:eastAsia="仿宋" w:hAnsi="仿宋" w:hint="eastAsia"/>
          <w:sz w:val="32"/>
          <w:szCs w:val="32"/>
        </w:rPr>
        <w:t>专项工作经费增加。</w:t>
      </w:r>
    </w:p>
    <w:p w:rsidR="001739B5" w:rsidRDefault="003502D8" w:rsidP="008C21EF">
      <w:pPr>
        <w:widowControl/>
        <w:spacing w:line="600" w:lineRule="exact"/>
        <w:ind w:firstLineChars="200" w:firstLine="643"/>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五、一般公共预算财政拨款支出决算情况说明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sz w:val="32"/>
          <w:szCs w:val="32"/>
        </w:rPr>
        <w:t>（一）财政拨款支出决算总体情况。</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财政拨款本年支出数为</w:t>
      </w:r>
      <w:r>
        <w:rPr>
          <w:rFonts w:ascii="仿宋" w:eastAsia="仿宋" w:hAnsi="仿宋"/>
          <w:sz w:val="32"/>
          <w:szCs w:val="32"/>
        </w:rPr>
        <w:t>204.88</w:t>
      </w:r>
      <w:r>
        <w:rPr>
          <w:rFonts w:ascii="仿宋" w:eastAsia="仿宋" w:hAnsi="仿宋" w:hint="eastAsia"/>
          <w:sz w:val="32"/>
          <w:szCs w:val="32"/>
        </w:rPr>
        <w:t>万元，与上年相比，增加19.4万元，增加10.46%,主要原因是</w:t>
      </w:r>
      <w:r w:rsidR="008C21EF">
        <w:rPr>
          <w:rFonts w:ascii="仿宋" w:eastAsia="仿宋" w:hAnsi="仿宋" w:hint="eastAsia"/>
          <w:sz w:val="32"/>
          <w:szCs w:val="32"/>
        </w:rPr>
        <w:t>专项工作经费增加</w:t>
      </w:r>
      <w:r>
        <w:rPr>
          <w:rFonts w:ascii="仿宋" w:eastAsia="仿宋" w:hAnsi="仿宋" w:hint="eastAsia"/>
          <w:sz w:val="32"/>
          <w:szCs w:val="32"/>
        </w:rPr>
        <w:t>。</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sz w:val="32"/>
          <w:szCs w:val="32"/>
        </w:rPr>
        <w:t>（二）财政拨款支出决算结构情况。</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2018年度财政拨款支出基本支出</w:t>
      </w:r>
      <w:r>
        <w:rPr>
          <w:rFonts w:ascii="仿宋" w:eastAsia="仿宋" w:hAnsi="仿宋"/>
          <w:sz w:val="32"/>
          <w:szCs w:val="32"/>
        </w:rPr>
        <w:t>160.42</w:t>
      </w:r>
      <w:r>
        <w:rPr>
          <w:rFonts w:ascii="仿宋" w:eastAsia="仿宋" w:hAnsi="仿宋" w:hint="eastAsia"/>
          <w:sz w:val="32"/>
          <w:szCs w:val="32"/>
        </w:rPr>
        <w:t>万元，占比78.3%；项目支出</w:t>
      </w:r>
      <w:r>
        <w:rPr>
          <w:rFonts w:ascii="仿宋" w:eastAsia="仿宋" w:hAnsi="仿宋"/>
          <w:sz w:val="32"/>
          <w:szCs w:val="32"/>
        </w:rPr>
        <w:t>44.46</w:t>
      </w:r>
      <w:r>
        <w:rPr>
          <w:rFonts w:ascii="仿宋" w:eastAsia="仿宋" w:hAnsi="仿宋" w:hint="eastAsia"/>
          <w:sz w:val="32"/>
          <w:szCs w:val="32"/>
        </w:rPr>
        <w:t>万元，占比21.7%。</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sz w:val="32"/>
          <w:szCs w:val="32"/>
        </w:rPr>
        <w:t>（三）财政拨款支出决算具体情况。</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年初预算安排数支出为150万元，本年决算数支出为</w:t>
      </w:r>
      <w:r>
        <w:rPr>
          <w:rFonts w:ascii="仿宋" w:eastAsia="仿宋" w:hAnsi="仿宋"/>
          <w:sz w:val="32"/>
          <w:szCs w:val="32"/>
        </w:rPr>
        <w:t>204.88</w:t>
      </w:r>
      <w:r>
        <w:rPr>
          <w:rFonts w:ascii="仿宋" w:eastAsia="仿宋" w:hAnsi="仿宋" w:hint="eastAsia"/>
          <w:sz w:val="32"/>
          <w:szCs w:val="32"/>
        </w:rPr>
        <w:t>万元。决算支出增加54.88万元。主要原因是：一般公共服务支出增加20.04万元，社会保障和就业支出增加12.03万元，医疗卫生与计划生育支出增加3.24万元，农林水支出增加14.72万元，住房保障支出增加4.85万元。</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六、一般公共预算财政拨款基本支出决算情况说明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一般公共预算财政拨款基本支出160.42万元，人员经费90.4万元，占比56.35%，公用经费</w:t>
      </w:r>
      <w:r>
        <w:rPr>
          <w:rFonts w:ascii="仿宋" w:eastAsia="仿宋" w:hAnsi="仿宋"/>
          <w:sz w:val="32"/>
          <w:szCs w:val="32"/>
        </w:rPr>
        <w:t>70.02</w:t>
      </w:r>
      <w:r>
        <w:rPr>
          <w:rFonts w:ascii="仿宋" w:eastAsia="仿宋" w:hAnsi="仿宋" w:hint="eastAsia"/>
          <w:sz w:val="32"/>
          <w:szCs w:val="32"/>
        </w:rPr>
        <w:t>万元，占比43.65%。</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七、一般公共预算财政拨款</w:t>
      </w:r>
      <w:r>
        <w:rPr>
          <w:rFonts w:ascii="Times New Roman" w:eastAsia="仿宋_GB2312" w:hAnsi="Times New Roman" w:cs="Times New Roman"/>
          <w:b/>
          <w:bCs/>
          <w:kern w:val="0"/>
          <w:sz w:val="32"/>
          <w:szCs w:val="32"/>
        </w:rPr>
        <w:t>“</w:t>
      </w:r>
      <w:r>
        <w:rPr>
          <w:rFonts w:ascii="Times New Roman" w:eastAsia="仿宋_GB2312" w:hAnsi="Times New Roman" w:cs="Times New Roman"/>
          <w:b/>
          <w:bCs/>
          <w:kern w:val="0"/>
          <w:sz w:val="32"/>
          <w:szCs w:val="32"/>
        </w:rPr>
        <w:t>三公</w:t>
      </w:r>
      <w:r>
        <w:rPr>
          <w:rFonts w:ascii="Times New Roman" w:eastAsia="仿宋_GB2312" w:hAnsi="Times New Roman" w:cs="Times New Roman"/>
          <w:b/>
          <w:bCs/>
          <w:kern w:val="0"/>
          <w:sz w:val="32"/>
          <w:szCs w:val="32"/>
        </w:rPr>
        <w:t>”</w:t>
      </w:r>
      <w:r>
        <w:rPr>
          <w:rFonts w:ascii="Times New Roman" w:eastAsia="仿宋_GB2312" w:hAnsi="Times New Roman" w:cs="Times New Roman"/>
          <w:b/>
          <w:bCs/>
          <w:kern w:val="0"/>
          <w:sz w:val="32"/>
          <w:szCs w:val="32"/>
        </w:rPr>
        <w:t>经费支出决算情况说明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sz w:val="32"/>
          <w:szCs w:val="32"/>
        </w:rPr>
        <w:t>（一）“三公”经费财政拨款支出决算总体情况说明。</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2018年度“三公”经费决算支出为1.15万元，其中</w:t>
      </w:r>
      <w:r>
        <w:rPr>
          <w:rFonts w:ascii="仿宋_GB2312" w:eastAsia="仿宋_GB2312" w:hAnsi="仿宋_GB2312" w:cs="仿宋_GB2312" w:hint="eastAsia"/>
          <w:sz w:val="32"/>
          <w:szCs w:val="32"/>
        </w:rPr>
        <w:t>公务用车购置及运行维护</w:t>
      </w:r>
      <w:r>
        <w:rPr>
          <w:rFonts w:ascii="仿宋" w:eastAsia="仿宋" w:hAnsi="仿宋" w:hint="eastAsia"/>
          <w:sz w:val="32"/>
          <w:szCs w:val="32"/>
        </w:rPr>
        <w:t>为0万元、公务接待费1.15万元，因公出国费用为0万元。上年决算支出2.98，其中</w:t>
      </w:r>
      <w:r>
        <w:rPr>
          <w:rFonts w:ascii="仿宋_GB2312" w:eastAsia="仿宋_GB2312" w:hAnsi="仿宋_GB2312" w:cs="仿宋_GB2312" w:hint="eastAsia"/>
          <w:sz w:val="32"/>
          <w:szCs w:val="32"/>
        </w:rPr>
        <w:t>公务用车购置及运行维护</w:t>
      </w:r>
      <w:r>
        <w:rPr>
          <w:rFonts w:ascii="仿宋" w:eastAsia="仿宋" w:hAnsi="仿宋" w:hint="eastAsia"/>
          <w:sz w:val="32"/>
          <w:szCs w:val="32"/>
        </w:rPr>
        <w:t>为2.5万元、公务接待费0.49万元，因公出国费用为0万元；2018年度“三公经费”年初预算为1.15万元，其中</w:t>
      </w:r>
      <w:r>
        <w:rPr>
          <w:rFonts w:ascii="仿宋_GB2312" w:eastAsia="仿宋_GB2312" w:hAnsi="仿宋_GB2312" w:cs="仿宋_GB2312" w:hint="eastAsia"/>
          <w:sz w:val="32"/>
          <w:szCs w:val="32"/>
        </w:rPr>
        <w:t>公务用车购置及运行维护</w:t>
      </w:r>
      <w:r>
        <w:rPr>
          <w:rFonts w:ascii="仿宋" w:eastAsia="仿宋" w:hAnsi="仿宋" w:hint="eastAsia"/>
          <w:sz w:val="32"/>
          <w:szCs w:val="32"/>
        </w:rPr>
        <w:t>为0万元、公务接待费1.15万元，因公出国费用为0万元。</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2018年度“三公经费”决算支出与上年相比减少1.83万元，原因是更加严格的从严治党，更加严格地执行了中央八项规定；2018年度“三公经费”决算支出与年初预算相比持平。</w:t>
      </w:r>
    </w:p>
    <w:p w:rsidR="001739B5" w:rsidRDefault="003502D8">
      <w:pPr>
        <w:widowControl/>
        <w:spacing w:line="600" w:lineRule="exact"/>
        <w:ind w:firstLineChars="250" w:firstLine="800"/>
        <w:rPr>
          <w:rFonts w:ascii="仿宋" w:eastAsia="仿宋" w:hAnsi="仿宋"/>
          <w:sz w:val="32"/>
          <w:szCs w:val="32"/>
        </w:rPr>
      </w:pPr>
      <w:r>
        <w:rPr>
          <w:rFonts w:ascii="仿宋" w:eastAsia="仿宋" w:hAnsi="仿宋"/>
          <w:sz w:val="32"/>
          <w:szCs w:val="32"/>
        </w:rPr>
        <w:t>（二）“三公”经费财政拨款支出决算具体情况说明。</w:t>
      </w:r>
    </w:p>
    <w:p w:rsidR="001739B5" w:rsidRDefault="003502D8">
      <w:pPr>
        <w:spacing w:line="600" w:lineRule="exact"/>
        <w:ind w:firstLineChars="200" w:firstLine="640"/>
        <w:rPr>
          <w:rFonts w:ascii="仿宋" w:eastAsia="仿宋" w:hAnsi="仿宋"/>
          <w:sz w:val="32"/>
          <w:szCs w:val="32"/>
        </w:rPr>
      </w:pPr>
      <w:r>
        <w:rPr>
          <w:rFonts w:ascii="仿宋" w:eastAsia="仿宋" w:hAnsi="仿宋" w:hint="eastAsia"/>
          <w:sz w:val="32"/>
          <w:szCs w:val="32"/>
        </w:rPr>
        <w:t>本部门</w:t>
      </w:r>
      <w:r>
        <w:rPr>
          <w:rFonts w:ascii="仿宋" w:eastAsia="仿宋" w:hAnsi="仿宋"/>
          <w:sz w:val="32"/>
          <w:szCs w:val="32"/>
        </w:rPr>
        <w:t>2018年度因公出国（境）组（参）团0个；公务用车购置0辆，年末公务用车保有量0辆；国内公务接待批次16次，接待人次116人。</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八、政府性基金预算收入支出决算情况</w:t>
      </w:r>
    </w:p>
    <w:p w:rsidR="001739B5" w:rsidRDefault="003502D8">
      <w:pPr>
        <w:widowControl/>
        <w:spacing w:line="600" w:lineRule="exact"/>
        <w:ind w:firstLineChars="200" w:firstLine="640"/>
        <w:rPr>
          <w:rFonts w:ascii="仿宋" w:eastAsia="仿宋" w:hAnsi="仿宋"/>
          <w:sz w:val="32"/>
          <w:szCs w:val="32"/>
        </w:rPr>
      </w:pPr>
      <w:r>
        <w:rPr>
          <w:rFonts w:ascii="仿宋" w:eastAsia="仿宋" w:hAnsi="仿宋" w:hint="eastAsia"/>
          <w:sz w:val="32"/>
          <w:szCs w:val="32"/>
        </w:rPr>
        <w:t>本单位无政府性基金收支</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九、关于</w:t>
      </w:r>
      <w:r>
        <w:rPr>
          <w:rFonts w:ascii="Times New Roman" w:eastAsia="仿宋_GB2312" w:hAnsi="Times New Roman" w:cs="Times New Roman"/>
          <w:b/>
          <w:bCs/>
          <w:kern w:val="0"/>
          <w:sz w:val="32"/>
          <w:szCs w:val="32"/>
        </w:rPr>
        <w:t>201</w:t>
      </w:r>
      <w:r>
        <w:rPr>
          <w:rFonts w:ascii="Times New Roman" w:eastAsia="仿宋_GB2312" w:hAnsi="Times New Roman" w:cs="Times New Roman" w:hint="eastAsia"/>
          <w:b/>
          <w:bCs/>
          <w:kern w:val="0"/>
          <w:sz w:val="32"/>
          <w:szCs w:val="32"/>
        </w:rPr>
        <w:t>8</w:t>
      </w:r>
      <w:r>
        <w:rPr>
          <w:rFonts w:ascii="Times New Roman" w:eastAsia="仿宋_GB2312" w:hAnsi="Times New Roman" w:cs="Times New Roman"/>
          <w:b/>
          <w:bCs/>
          <w:kern w:val="0"/>
          <w:sz w:val="32"/>
          <w:szCs w:val="32"/>
        </w:rPr>
        <w:t>年度预算绩效情况说明</w:t>
      </w:r>
    </w:p>
    <w:p w:rsidR="001739B5" w:rsidRDefault="003502D8">
      <w:pPr>
        <w:spacing w:line="600" w:lineRule="exact"/>
        <w:ind w:firstLineChars="200" w:firstLine="640"/>
        <w:rPr>
          <w:rFonts w:eastAsia="仿宋_GB2312"/>
          <w:kern w:val="0"/>
          <w:sz w:val="32"/>
          <w:szCs w:val="32"/>
        </w:rPr>
      </w:pPr>
      <w:r>
        <w:rPr>
          <w:rFonts w:eastAsia="仿宋_GB2312" w:hint="eastAsia"/>
          <w:kern w:val="0"/>
          <w:sz w:val="32"/>
          <w:szCs w:val="32"/>
        </w:rPr>
        <w:t>本</w:t>
      </w:r>
      <w:r>
        <w:rPr>
          <w:rFonts w:ascii="仿宋" w:eastAsia="仿宋" w:hAnsi="仿宋" w:hint="eastAsia"/>
          <w:sz w:val="32"/>
          <w:szCs w:val="32"/>
        </w:rPr>
        <w:t>部门2018</w:t>
      </w:r>
      <w:r>
        <w:rPr>
          <w:rFonts w:eastAsia="仿宋_GB2312" w:hint="eastAsia"/>
          <w:kern w:val="0"/>
          <w:sz w:val="32"/>
          <w:szCs w:val="32"/>
        </w:rPr>
        <w:t>年按财政局要求认真开展落实绩效管理工作，切实完成年度绩效目标和绩效评价工作。</w:t>
      </w:r>
    </w:p>
    <w:p w:rsidR="001739B5" w:rsidRDefault="003502D8">
      <w:pPr>
        <w:widowControl/>
        <w:spacing w:line="600" w:lineRule="exact"/>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十、其他重要事项</w:t>
      </w:r>
    </w:p>
    <w:p w:rsidR="001739B5" w:rsidRDefault="003502D8" w:rsidP="00636917">
      <w:pPr>
        <w:autoSpaceDE w:val="0"/>
        <w:autoSpaceDN w:val="0"/>
        <w:adjustRightInd w:val="0"/>
        <w:spacing w:line="600" w:lineRule="exact"/>
        <w:ind w:firstLineChars="200" w:firstLine="640"/>
        <w:rPr>
          <w:rFonts w:ascii="仿宋" w:eastAsia="仿宋" w:hAnsi="仿宋"/>
          <w:sz w:val="32"/>
          <w:szCs w:val="32"/>
        </w:rPr>
      </w:pPr>
      <w:r>
        <w:rPr>
          <w:rFonts w:ascii="仿宋" w:eastAsia="仿宋" w:hAnsi="仿宋"/>
          <w:sz w:val="32"/>
          <w:szCs w:val="32"/>
        </w:rPr>
        <w:t>（一）机关运行经费支出情况。本部门201</w:t>
      </w:r>
      <w:r>
        <w:rPr>
          <w:rFonts w:ascii="仿宋" w:eastAsia="仿宋" w:hAnsi="仿宋" w:hint="eastAsia"/>
          <w:sz w:val="32"/>
          <w:szCs w:val="32"/>
        </w:rPr>
        <w:t>8</w:t>
      </w:r>
      <w:r>
        <w:rPr>
          <w:rFonts w:ascii="仿宋" w:eastAsia="仿宋" w:hAnsi="仿宋"/>
          <w:sz w:val="32"/>
          <w:szCs w:val="32"/>
        </w:rPr>
        <w:t>年度机关运行经费支出70.2万元，比</w:t>
      </w:r>
      <w:r>
        <w:rPr>
          <w:rFonts w:ascii="仿宋" w:eastAsia="仿宋" w:hAnsi="仿宋" w:hint="eastAsia"/>
          <w:sz w:val="32"/>
          <w:szCs w:val="32"/>
        </w:rPr>
        <w:t>年初预算数</w:t>
      </w:r>
      <w:r>
        <w:rPr>
          <w:rFonts w:ascii="仿宋" w:eastAsia="仿宋" w:hAnsi="仿宋"/>
          <w:sz w:val="32"/>
          <w:szCs w:val="32"/>
        </w:rPr>
        <w:t>增加0.2 万元，增长</w:t>
      </w:r>
      <w:r>
        <w:rPr>
          <w:rFonts w:ascii="仿宋" w:eastAsia="仿宋" w:hAnsi="仿宋"/>
          <w:sz w:val="32"/>
          <w:szCs w:val="32"/>
        </w:rPr>
        <w:lastRenderedPageBreak/>
        <w:t>0.29%。</w:t>
      </w:r>
      <w:r>
        <w:rPr>
          <w:rFonts w:ascii="仿宋" w:eastAsia="仿宋" w:hAnsi="仿宋" w:hint="eastAsia"/>
          <w:sz w:val="32"/>
          <w:szCs w:val="32"/>
        </w:rPr>
        <w:t>与年初预算数基本持平。</w:t>
      </w:r>
    </w:p>
    <w:p w:rsidR="00E85831" w:rsidRPr="00E85831" w:rsidRDefault="003502D8" w:rsidP="00636917">
      <w:pPr>
        <w:spacing w:line="600" w:lineRule="exact"/>
        <w:ind w:firstLineChars="200" w:firstLine="640"/>
        <w:rPr>
          <w:rFonts w:ascii="仿宋" w:eastAsia="仿宋" w:hAnsi="仿宋" w:cs="仿宋"/>
          <w:sz w:val="32"/>
          <w:szCs w:val="32"/>
        </w:rPr>
      </w:pPr>
      <w:r>
        <w:rPr>
          <w:rFonts w:ascii="仿宋" w:eastAsia="仿宋" w:hAnsi="仿宋"/>
          <w:sz w:val="32"/>
          <w:szCs w:val="32"/>
        </w:rPr>
        <w:t>（二）政府采购支出情况。</w:t>
      </w:r>
      <w:r w:rsidR="00E85831">
        <w:rPr>
          <w:rFonts w:ascii="仿宋" w:eastAsia="仿宋" w:hAnsi="仿宋" w:cs="仿宋" w:hint="eastAsia"/>
          <w:color w:val="000000"/>
          <w:kern w:val="0"/>
          <w:sz w:val="32"/>
          <w:szCs w:val="32"/>
        </w:rPr>
        <w:t>本部门2018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1739B5" w:rsidRPr="00A56CC8" w:rsidRDefault="003502D8" w:rsidP="00636917">
      <w:pPr>
        <w:spacing w:line="600" w:lineRule="exact"/>
        <w:ind w:firstLineChars="200" w:firstLine="640"/>
        <w:rPr>
          <w:rFonts w:ascii="仿宋" w:eastAsia="仿宋" w:hAnsi="仿宋" w:cs="仿宋"/>
          <w:color w:val="000000"/>
          <w:kern w:val="0"/>
          <w:sz w:val="32"/>
          <w:szCs w:val="32"/>
        </w:rPr>
        <w:sectPr w:rsidR="001739B5" w:rsidRPr="00A56CC8">
          <w:pgSz w:w="11906" w:h="16838"/>
          <w:pgMar w:top="1440" w:right="1800" w:bottom="1440" w:left="1800" w:header="851" w:footer="992" w:gutter="0"/>
          <w:cols w:space="425"/>
          <w:docGrid w:type="lines" w:linePitch="312"/>
        </w:sectPr>
      </w:pPr>
      <w:r>
        <w:rPr>
          <w:rFonts w:ascii="仿宋" w:eastAsia="仿宋" w:hAnsi="仿宋"/>
          <w:sz w:val="32"/>
          <w:szCs w:val="32"/>
        </w:rPr>
        <w:t>（三）国有资产占用情况。截至201</w:t>
      </w:r>
      <w:r>
        <w:rPr>
          <w:rFonts w:ascii="仿宋" w:eastAsia="仿宋" w:hAnsi="仿宋" w:hint="eastAsia"/>
          <w:sz w:val="32"/>
          <w:szCs w:val="32"/>
        </w:rPr>
        <w:t>8</w:t>
      </w:r>
      <w:r>
        <w:rPr>
          <w:rFonts w:ascii="仿宋" w:eastAsia="仿宋" w:hAnsi="仿宋"/>
          <w:sz w:val="32"/>
          <w:szCs w:val="32"/>
        </w:rPr>
        <w:t>年12 月31 日，</w:t>
      </w:r>
      <w:r w:rsidR="00A56CC8">
        <w:rPr>
          <w:rFonts w:ascii="仿宋" w:eastAsia="仿宋" w:hAnsi="仿宋" w:cs="仿宋" w:hint="eastAsia"/>
          <w:color w:val="000000"/>
          <w:kern w:val="0"/>
          <w:sz w:val="32"/>
          <w:szCs w:val="32"/>
        </w:rPr>
        <w:t>本单位共有车辆0辆，其中，领导干部用车0辆、机要通信用车0辆、应急保障用车0辆、执法执勤用车0辆、特种专业技术用车0辆、其他用车0辆；单位价值50万元以上通用设备0台（套）；单位价值100万元以上专用设备0台（套）。</w:t>
      </w:r>
    </w:p>
    <w:p w:rsidR="001739B5" w:rsidRDefault="003502D8">
      <w:pPr>
        <w:spacing w:line="600" w:lineRule="exact"/>
        <w:jc w:val="center"/>
        <w:rPr>
          <w:rFonts w:ascii="仿宋_GB2312" w:eastAsia="仿宋_GB2312"/>
          <w:sz w:val="36"/>
          <w:szCs w:val="36"/>
        </w:rPr>
      </w:pPr>
      <w:r>
        <w:rPr>
          <w:rFonts w:eastAsia="黑体" w:hint="eastAsia"/>
          <w:bCs/>
          <w:kern w:val="0"/>
          <w:sz w:val="36"/>
          <w:szCs w:val="36"/>
        </w:rPr>
        <w:lastRenderedPageBreak/>
        <w:t>第四部分</w:t>
      </w:r>
      <w:r>
        <w:rPr>
          <w:rFonts w:eastAsia="黑体" w:hint="eastAsia"/>
          <w:bCs/>
          <w:kern w:val="0"/>
          <w:sz w:val="36"/>
          <w:szCs w:val="36"/>
        </w:rPr>
        <w:t xml:space="preserve">  </w:t>
      </w:r>
      <w:r>
        <w:rPr>
          <w:rFonts w:eastAsia="黑体" w:hint="eastAsia"/>
          <w:bCs/>
          <w:kern w:val="0"/>
          <w:sz w:val="36"/>
          <w:szCs w:val="36"/>
        </w:rPr>
        <w:t>名词解释</w:t>
      </w:r>
    </w:p>
    <w:p w:rsidR="001739B5" w:rsidRDefault="003502D8">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1739B5" w:rsidRDefault="003502D8">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三公</w:t>
      </w:r>
      <w:r>
        <w:rPr>
          <w:rFonts w:eastAsia="仿宋_GB2312"/>
          <w:kern w:val="0"/>
          <w:sz w:val="32"/>
          <w:szCs w:val="32"/>
        </w:rPr>
        <w:t>”</w:t>
      </w:r>
      <w:r>
        <w:rPr>
          <w:rFonts w:eastAsia="仿宋_GB2312"/>
          <w:kern w:val="0"/>
          <w:sz w:val="32"/>
          <w:szCs w:val="32"/>
        </w:rPr>
        <w:t>经费：纳入财政预算管理的</w:t>
      </w:r>
      <w:r>
        <w:rPr>
          <w:rFonts w:eastAsia="仿宋_GB2312"/>
          <w:kern w:val="0"/>
          <w:sz w:val="32"/>
          <w:szCs w:val="32"/>
        </w:rPr>
        <w:t>“</w:t>
      </w:r>
      <w:r>
        <w:rPr>
          <w:rFonts w:eastAsia="仿宋_GB2312"/>
          <w:kern w:val="0"/>
          <w:sz w:val="32"/>
          <w:szCs w:val="32"/>
        </w:rPr>
        <w:t>三公</w:t>
      </w:r>
      <w:r>
        <w:rPr>
          <w:rFonts w:eastAsia="仿宋_GB2312"/>
          <w:kern w:val="0"/>
          <w:sz w:val="32"/>
          <w:szCs w:val="32"/>
        </w:rPr>
        <w:t>“</w:t>
      </w:r>
      <w:r>
        <w:rPr>
          <w:rFonts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1739B5" w:rsidRDefault="001739B5">
      <w:pPr>
        <w:spacing w:line="600" w:lineRule="exact"/>
        <w:ind w:firstLineChars="200" w:firstLine="640"/>
        <w:rPr>
          <w:rFonts w:eastAsia="仿宋_GB2312"/>
          <w:kern w:val="0"/>
          <w:sz w:val="32"/>
          <w:szCs w:val="32"/>
        </w:rPr>
      </w:pPr>
    </w:p>
    <w:p w:rsidR="001739B5" w:rsidRDefault="003502D8">
      <w:pPr>
        <w:spacing w:line="600" w:lineRule="exact"/>
        <w:ind w:firstLineChars="200" w:firstLine="640"/>
        <w:jc w:val="right"/>
        <w:rPr>
          <w:rFonts w:eastAsia="仿宋_GB2312"/>
          <w:kern w:val="0"/>
          <w:sz w:val="32"/>
          <w:szCs w:val="32"/>
        </w:rPr>
      </w:pPr>
      <w:r>
        <w:rPr>
          <w:rFonts w:eastAsia="仿宋_GB2312" w:hint="eastAsia"/>
          <w:kern w:val="0"/>
          <w:sz w:val="32"/>
          <w:szCs w:val="32"/>
        </w:rPr>
        <w:t>鹤城区委统战部</w:t>
      </w:r>
    </w:p>
    <w:p w:rsidR="001739B5" w:rsidRDefault="003502D8">
      <w:pPr>
        <w:spacing w:line="600" w:lineRule="exact"/>
        <w:ind w:firstLineChars="200" w:firstLine="640"/>
        <w:jc w:val="right"/>
        <w:rPr>
          <w:rFonts w:eastAsia="仿宋_GB2312"/>
          <w:kern w:val="0"/>
          <w:sz w:val="32"/>
          <w:szCs w:val="32"/>
        </w:rPr>
      </w:pPr>
      <w:r>
        <w:rPr>
          <w:rFonts w:eastAsia="仿宋_GB2312"/>
          <w:kern w:val="0"/>
          <w:sz w:val="32"/>
          <w:szCs w:val="32"/>
        </w:rPr>
        <w:t>2019</w:t>
      </w:r>
      <w:r>
        <w:rPr>
          <w:rFonts w:eastAsia="仿宋_GB2312"/>
          <w:kern w:val="0"/>
          <w:sz w:val="32"/>
          <w:szCs w:val="32"/>
        </w:rPr>
        <w:t>年</w:t>
      </w:r>
      <w:r>
        <w:rPr>
          <w:rFonts w:eastAsia="仿宋_GB2312"/>
          <w:kern w:val="0"/>
          <w:sz w:val="32"/>
          <w:szCs w:val="32"/>
        </w:rPr>
        <w:t>9</w:t>
      </w:r>
      <w:r>
        <w:rPr>
          <w:rFonts w:eastAsia="仿宋_GB2312"/>
          <w:kern w:val="0"/>
          <w:sz w:val="32"/>
          <w:szCs w:val="32"/>
        </w:rPr>
        <w:t>月</w:t>
      </w:r>
      <w:r>
        <w:rPr>
          <w:rFonts w:eastAsia="仿宋_GB2312"/>
          <w:kern w:val="0"/>
          <w:sz w:val="32"/>
          <w:szCs w:val="32"/>
        </w:rPr>
        <w:t>4</w:t>
      </w:r>
      <w:r>
        <w:rPr>
          <w:rFonts w:eastAsia="仿宋_GB2312"/>
          <w:kern w:val="0"/>
          <w:sz w:val="32"/>
          <w:szCs w:val="32"/>
        </w:rPr>
        <w:t>日</w:t>
      </w:r>
    </w:p>
    <w:p w:rsidR="001739B5" w:rsidRDefault="001739B5">
      <w:pPr>
        <w:spacing w:line="600" w:lineRule="exact"/>
        <w:rPr>
          <w:rFonts w:ascii="Times New Roman" w:eastAsia="黑体" w:hAnsi="Times New Roman" w:cs="Times New Roman"/>
          <w:sz w:val="28"/>
          <w:szCs w:val="28"/>
        </w:rPr>
      </w:pPr>
    </w:p>
    <w:p w:rsidR="001739B5" w:rsidRDefault="001739B5"/>
    <w:sectPr w:rsidR="001739B5" w:rsidSect="001739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EC3" w:rsidRDefault="00891EC3" w:rsidP="001739B5">
      <w:r>
        <w:separator/>
      </w:r>
    </w:p>
  </w:endnote>
  <w:endnote w:type="continuationSeparator" w:id="1">
    <w:p w:rsidR="00891EC3" w:rsidRDefault="00891EC3" w:rsidP="00173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4"/>
      <w:ind w:firstLine="482"/>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EC3" w:rsidRDefault="00891EC3" w:rsidP="001739B5">
      <w:r>
        <w:separator/>
      </w:r>
    </w:p>
  </w:footnote>
  <w:footnote w:type="continuationSeparator" w:id="1">
    <w:p w:rsidR="00891EC3" w:rsidRDefault="00891EC3" w:rsidP="00173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9B5" w:rsidRDefault="001739B5">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24F55"/>
    <w:rsid w:val="001313C1"/>
    <w:rsid w:val="0013198D"/>
    <w:rsid w:val="001374CC"/>
    <w:rsid w:val="0014319B"/>
    <w:rsid w:val="0016239A"/>
    <w:rsid w:val="001738C6"/>
    <w:rsid w:val="001739B5"/>
    <w:rsid w:val="00196737"/>
    <w:rsid w:val="001B2D55"/>
    <w:rsid w:val="001B405B"/>
    <w:rsid w:val="001C55ED"/>
    <w:rsid w:val="001C76D8"/>
    <w:rsid w:val="001C7DF1"/>
    <w:rsid w:val="001D0B9C"/>
    <w:rsid w:val="001F2ECD"/>
    <w:rsid w:val="001F6302"/>
    <w:rsid w:val="00221C69"/>
    <w:rsid w:val="0022273F"/>
    <w:rsid w:val="00223992"/>
    <w:rsid w:val="00243203"/>
    <w:rsid w:val="00262B9D"/>
    <w:rsid w:val="00280052"/>
    <w:rsid w:val="002831E7"/>
    <w:rsid w:val="00287575"/>
    <w:rsid w:val="002A5617"/>
    <w:rsid w:val="002E53F4"/>
    <w:rsid w:val="002F06C2"/>
    <w:rsid w:val="002F3363"/>
    <w:rsid w:val="002F7152"/>
    <w:rsid w:val="00302072"/>
    <w:rsid w:val="00312528"/>
    <w:rsid w:val="00315571"/>
    <w:rsid w:val="0032310E"/>
    <w:rsid w:val="0032659A"/>
    <w:rsid w:val="00331212"/>
    <w:rsid w:val="003368E2"/>
    <w:rsid w:val="00342ACE"/>
    <w:rsid w:val="0034481E"/>
    <w:rsid w:val="003502D8"/>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1794"/>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278F5"/>
    <w:rsid w:val="00531E52"/>
    <w:rsid w:val="00536924"/>
    <w:rsid w:val="0054376C"/>
    <w:rsid w:val="00557DB6"/>
    <w:rsid w:val="00561D91"/>
    <w:rsid w:val="005625A1"/>
    <w:rsid w:val="0056646E"/>
    <w:rsid w:val="00590662"/>
    <w:rsid w:val="005A23EB"/>
    <w:rsid w:val="005A750C"/>
    <w:rsid w:val="005B0C2A"/>
    <w:rsid w:val="005B51A7"/>
    <w:rsid w:val="005B7510"/>
    <w:rsid w:val="005C6820"/>
    <w:rsid w:val="005D2748"/>
    <w:rsid w:val="005D3D52"/>
    <w:rsid w:val="005E7021"/>
    <w:rsid w:val="005F2BCA"/>
    <w:rsid w:val="00611007"/>
    <w:rsid w:val="006266A6"/>
    <w:rsid w:val="00636917"/>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57C1F"/>
    <w:rsid w:val="00860953"/>
    <w:rsid w:val="00863D3A"/>
    <w:rsid w:val="00866C97"/>
    <w:rsid w:val="008727A8"/>
    <w:rsid w:val="0087620B"/>
    <w:rsid w:val="00877367"/>
    <w:rsid w:val="00885622"/>
    <w:rsid w:val="00885802"/>
    <w:rsid w:val="00890012"/>
    <w:rsid w:val="00891EC3"/>
    <w:rsid w:val="008921D4"/>
    <w:rsid w:val="00893F81"/>
    <w:rsid w:val="00895A40"/>
    <w:rsid w:val="008A35DA"/>
    <w:rsid w:val="008A47C8"/>
    <w:rsid w:val="008A4F79"/>
    <w:rsid w:val="008C0D0B"/>
    <w:rsid w:val="008C21EF"/>
    <w:rsid w:val="008F3807"/>
    <w:rsid w:val="008F7BE8"/>
    <w:rsid w:val="00902D71"/>
    <w:rsid w:val="009138F9"/>
    <w:rsid w:val="00926A56"/>
    <w:rsid w:val="00955403"/>
    <w:rsid w:val="00965253"/>
    <w:rsid w:val="009664AF"/>
    <w:rsid w:val="00980BD5"/>
    <w:rsid w:val="009829F6"/>
    <w:rsid w:val="0098542E"/>
    <w:rsid w:val="009D4755"/>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56CC8"/>
    <w:rsid w:val="00A611F5"/>
    <w:rsid w:val="00A731F2"/>
    <w:rsid w:val="00A8613A"/>
    <w:rsid w:val="00A871BD"/>
    <w:rsid w:val="00A9678D"/>
    <w:rsid w:val="00AB6999"/>
    <w:rsid w:val="00AC016C"/>
    <w:rsid w:val="00AC32DE"/>
    <w:rsid w:val="00AD185D"/>
    <w:rsid w:val="00AE1E13"/>
    <w:rsid w:val="00AE27F2"/>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71E9"/>
    <w:rsid w:val="00CC196A"/>
    <w:rsid w:val="00CD61FA"/>
    <w:rsid w:val="00CE4DDF"/>
    <w:rsid w:val="00CF6686"/>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85831"/>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19CE3CE6"/>
    <w:rsid w:val="1CEA7EB1"/>
    <w:rsid w:val="20793EC7"/>
    <w:rsid w:val="38BE7E67"/>
    <w:rsid w:val="40686981"/>
    <w:rsid w:val="544222D7"/>
    <w:rsid w:val="65E443B5"/>
    <w:rsid w:val="779D27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semiHidden="0"/>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9B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739B5"/>
    <w:rPr>
      <w:sz w:val="18"/>
      <w:szCs w:val="18"/>
    </w:rPr>
  </w:style>
  <w:style w:type="paragraph" w:styleId="a4">
    <w:name w:val="footer"/>
    <w:basedOn w:val="a"/>
    <w:link w:val="Char0"/>
    <w:uiPriority w:val="99"/>
    <w:unhideWhenUsed/>
    <w:qFormat/>
    <w:rsid w:val="001739B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1739B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1739B5"/>
    <w:pPr>
      <w:jc w:val="left"/>
    </w:pPr>
    <w:rPr>
      <w:rFonts w:cs="Times New Roman"/>
      <w:kern w:val="0"/>
      <w:sz w:val="24"/>
    </w:rPr>
  </w:style>
  <w:style w:type="character" w:styleId="a7">
    <w:name w:val="FollowedHyperlink"/>
    <w:basedOn w:val="a0"/>
    <w:uiPriority w:val="99"/>
    <w:semiHidden/>
    <w:unhideWhenUsed/>
    <w:qFormat/>
    <w:rsid w:val="001739B5"/>
    <w:rPr>
      <w:color w:val="333333"/>
      <w:u w:val="none"/>
    </w:rPr>
  </w:style>
  <w:style w:type="character" w:styleId="a8">
    <w:name w:val="Emphasis"/>
    <w:basedOn w:val="a0"/>
    <w:uiPriority w:val="20"/>
    <w:qFormat/>
    <w:rsid w:val="001739B5"/>
  </w:style>
  <w:style w:type="character" w:styleId="a9">
    <w:name w:val="Hyperlink"/>
    <w:basedOn w:val="a0"/>
    <w:uiPriority w:val="99"/>
    <w:semiHidden/>
    <w:unhideWhenUsed/>
    <w:qFormat/>
    <w:rsid w:val="001739B5"/>
    <w:rPr>
      <w:color w:val="333333"/>
      <w:u w:val="none"/>
    </w:rPr>
  </w:style>
  <w:style w:type="character" w:customStyle="1" w:styleId="Char1">
    <w:name w:val="页眉 Char"/>
    <w:basedOn w:val="a0"/>
    <w:link w:val="a5"/>
    <w:uiPriority w:val="99"/>
    <w:qFormat/>
    <w:rsid w:val="001739B5"/>
    <w:rPr>
      <w:sz w:val="18"/>
      <w:szCs w:val="18"/>
    </w:rPr>
  </w:style>
  <w:style w:type="character" w:customStyle="1" w:styleId="Char0">
    <w:name w:val="页脚 Char"/>
    <w:basedOn w:val="a0"/>
    <w:link w:val="a4"/>
    <w:uiPriority w:val="99"/>
    <w:qFormat/>
    <w:rsid w:val="001739B5"/>
    <w:rPr>
      <w:sz w:val="18"/>
      <w:szCs w:val="18"/>
    </w:rPr>
  </w:style>
  <w:style w:type="character" w:customStyle="1" w:styleId="Char">
    <w:name w:val="批注框文本 Char"/>
    <w:basedOn w:val="a0"/>
    <w:link w:val="a3"/>
    <w:uiPriority w:val="99"/>
    <w:semiHidden/>
    <w:qFormat/>
    <w:rsid w:val="001739B5"/>
    <w:rPr>
      <w:sz w:val="18"/>
      <w:szCs w:val="18"/>
    </w:rPr>
  </w:style>
  <w:style w:type="character" w:customStyle="1" w:styleId="wx-space">
    <w:name w:val="wx-space"/>
    <w:basedOn w:val="a0"/>
    <w:rsid w:val="001739B5"/>
  </w:style>
  <w:style w:type="character" w:customStyle="1" w:styleId="wx-space1">
    <w:name w:val="wx-space1"/>
    <w:basedOn w:val="a0"/>
    <w:qFormat/>
    <w:rsid w:val="001739B5"/>
  </w:style>
  <w:style w:type="character" w:customStyle="1" w:styleId="hover5">
    <w:name w:val="hover5"/>
    <w:basedOn w:val="a0"/>
    <w:qFormat/>
    <w:rsid w:val="001739B5"/>
    <w:rPr>
      <w:color w:val="000000"/>
      <w:shd w:val="clear" w:color="auto" w:fill="FFFFFF"/>
    </w:rPr>
  </w:style>
  <w:style w:type="character" w:customStyle="1" w:styleId="hover4">
    <w:name w:val="hover4"/>
    <w:basedOn w:val="a0"/>
    <w:qFormat/>
    <w:rsid w:val="001739B5"/>
    <w:rPr>
      <w:color w:val="000000"/>
      <w:shd w:val="clear" w:color="auto" w:fill="FFFFFF"/>
    </w:rPr>
  </w:style>
  <w:style w:type="character" w:customStyle="1" w:styleId="hover">
    <w:name w:val="hover"/>
    <w:basedOn w:val="a0"/>
    <w:rsid w:val="001739B5"/>
    <w:rPr>
      <w:color w:val="000000"/>
      <w:shd w:val="clear" w:color="auto" w:fill="FFFFFF"/>
    </w:rPr>
  </w:style>
  <w:style w:type="paragraph" w:styleId="aa">
    <w:name w:val="List Paragraph"/>
    <w:basedOn w:val="a"/>
    <w:uiPriority w:val="99"/>
    <w:unhideWhenUsed/>
    <w:rsid w:val="001739B5"/>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Words>
  <Characters>2689</Characters>
  <Application>Microsoft Office Word</Application>
  <DocSecurity>0</DocSecurity>
  <Lines>22</Lines>
  <Paragraphs>6</Paragraphs>
  <ScaleCrop>false</ScaleCrop>
  <Company>Microsoft</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cp:lastPrinted>2019-09-05T08:43:00Z</cp:lastPrinted>
  <dcterms:created xsi:type="dcterms:W3CDTF">2021-06-03T09:18:00Z</dcterms:created>
  <dcterms:modified xsi:type="dcterms:W3CDTF">2021-06-03T09:18:00Z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