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怀化市旅游学校</w:t>
      </w:r>
      <w:r>
        <w:rPr>
          <w:rFonts w:ascii="黑体" w:hAnsi="黑体" w:eastAsia="黑体"/>
          <w:b/>
          <w:sz w:val="44"/>
          <w:szCs w:val="44"/>
        </w:rPr>
        <w:t>201</w:t>
      </w:r>
      <w:r>
        <w:rPr>
          <w:rFonts w:hint="eastAsia" w:ascii="黑体" w:hAnsi="黑体" w:eastAsia="黑体"/>
          <w:b/>
          <w:sz w:val="44"/>
          <w:szCs w:val="44"/>
        </w:rPr>
        <w:t>9年度部门预算公开说明</w:t>
      </w:r>
    </w:p>
    <w:p>
      <w:pPr>
        <w:spacing w:line="480" w:lineRule="auto"/>
        <w:ind w:firstLine="720" w:firstLineChars="200"/>
        <w:jc w:val="center"/>
        <w:textAlignment w:val="baseline"/>
        <w:rPr>
          <w:rFonts w:asci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b w:val="0"/>
          <w:bCs w:val="0"/>
          <w:sz w:val="36"/>
          <w:szCs w:val="36"/>
          <w:lang w:eastAsia="zh-CN"/>
        </w:rPr>
        <w:t>目录</w:t>
      </w:r>
      <w:r>
        <w:rPr>
          <w:rFonts w:hint="eastAsia" w:ascii="黑体" w:eastAsia="黑体"/>
          <w:b w:val="0"/>
          <w:bCs w:val="0"/>
          <w:sz w:val="36"/>
          <w:szCs w:val="36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</w:t>
      </w:r>
      <w:r>
        <w:rPr>
          <w:rFonts w:hint="eastAsia" w:ascii="黑体" w:eastAsia="黑体"/>
          <w:sz w:val="32"/>
          <w:szCs w:val="32"/>
        </w:rPr>
        <w:t>、部门预算安排情况说明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收入预算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基本支出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年度“三公”经费预算情况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（五）预计</w:t>
      </w:r>
      <w:r>
        <w:rPr>
          <w:rFonts w:hint="eastAsia" w:ascii="仿宋_GB2312" w:eastAsia="仿宋_GB2312"/>
          <w:sz w:val="32"/>
          <w:szCs w:val="32"/>
        </w:rPr>
        <w:t>国有资产占用</w:t>
      </w:r>
      <w:r>
        <w:rPr>
          <w:rFonts w:hint="eastAsia" w:ascii="仿宋_GB2312" w:eastAsia="仿宋_GB2312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重点项目绩效目标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hint="eastAsia" w:ascii="黑体" w:eastAsia="黑体"/>
          <w:sz w:val="32"/>
          <w:szCs w:val="32"/>
        </w:rPr>
        <w:t>、专业名词解释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 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8、政府性基金预算支出情况表</w:t>
      </w: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480" w:lineRule="auto"/>
        <w:jc w:val="left"/>
        <w:rPr>
          <w:rFonts w:hint="eastAsia" w:ascii="黑体" w:eastAsia="黑体"/>
          <w:sz w:val="32"/>
          <w:szCs w:val="32"/>
        </w:rPr>
      </w:pPr>
    </w:p>
    <w:p>
      <w:pPr>
        <w:textAlignment w:val="baseline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（一）部门职责</w:t>
      </w: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怀化市旅游学校属全额拨款事业单位，从事中专教育教学工作，现有教职工134人（其中在职在岗人员89人，临聘教师45人），退休教职工40人。学生2243人。</w:t>
      </w: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（二）机构设置情况</w:t>
      </w:r>
    </w:p>
    <w:p>
      <w:pPr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怀化市旅游学校作为一级部门预算单位，内设11个功能室：校长室、书记室、教导处、招生处、就业处、总务处、办公室、工会、副校长室、团支部、资助中心。</w:t>
      </w:r>
    </w:p>
    <w:p>
      <w:pPr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2019年部门预算只有本级，没有其他预算单位，因此本部门预算仅含本级预算。</w:t>
      </w: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（一）部门预算基本情况。</w:t>
      </w: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1</w:t>
      </w:r>
      <w:r>
        <w:rPr>
          <w:rFonts w:hint="eastAsia" w:ascii="仿宋" w:hAnsi="仿宋" w:eastAsia="仿宋"/>
          <w:sz w:val="32"/>
          <w:szCs w:val="32"/>
        </w:rPr>
        <w:t>、年度收支预算情况。</w:t>
      </w: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①预算收入，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2230.74万元，其中，其中，一般公共预算拨款2155.74万元，政府性基金预算拨款0万元，纳入财政专户管理的非税收入拨款75万元，国有资本经营预算拨款0万元，事业收入拨款0万元。收入较去年减少308.13万元，主要原因是消除大班额，减少了铁乘和运动训练两个专业，总学生人数减少。</w:t>
      </w: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②预算支出，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9年年初预算数2230.74万元，其中，一般公共预算支出1511.34万元，项目支出719.4万元。支出较去年减少308.13万元，主要原因是学生人数减少。</w:t>
      </w:r>
    </w:p>
    <w:p>
      <w:pPr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2</w:t>
      </w:r>
      <w:r>
        <w:rPr>
          <w:rFonts w:hint="eastAsia" w:ascii="仿宋" w:hAnsi="仿宋" w:eastAsia="仿宋"/>
          <w:sz w:val="32"/>
          <w:szCs w:val="32"/>
        </w:rPr>
        <w:t>、年度一般公共预算财政拨款支出情况。</w:t>
      </w:r>
    </w:p>
    <w:p>
      <w:pPr>
        <w:spacing w:line="560" w:lineRule="exact"/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基本支出：2019年年初预算数为1436.33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（2）项目支出：2019年项目支出总计719.4万元，是指单位为完成特定行政工作任务或事业发展目标而发生的支出，包括有产业发展引导类0万元、专项业务费用类48.1万元、基本建设类300万元、对个人和家庭补助类371.3万元。</w:t>
      </w:r>
    </w:p>
    <w:p>
      <w:pPr>
        <w:spacing w:line="560" w:lineRule="exact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政府性基金支出</w:t>
      </w:r>
    </w:p>
    <w:p>
      <w:pPr>
        <w:spacing w:line="560" w:lineRule="exact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2019年无政府性基金支出。</w:t>
      </w:r>
    </w:p>
    <w:p>
      <w:pPr>
        <w:ind w:firstLine="480" w:firstLineChars="15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二）年度“三公”经费预算情况。</w:t>
      </w:r>
    </w:p>
    <w:p>
      <w:pPr>
        <w:spacing w:line="560" w:lineRule="exact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9年“三公”经费预算数为4.75万元，其中，公务接待费4.75万元，公务用车购置0万元，公务用车运行维护费0万元。</w:t>
      </w:r>
      <w:r>
        <w:rPr>
          <w:rFonts w:hint="eastAsia" w:ascii="仿宋" w:hAnsi="仿宋" w:eastAsia="仿宋"/>
          <w:sz w:val="32"/>
          <w:szCs w:val="32"/>
          <w:lang w:eastAsia="zh-CN"/>
        </w:rPr>
        <w:t>因公出国（境）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0万元、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9年“三公”经费预算比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8年预算数</w:t>
      </w:r>
      <w:r>
        <w:rPr>
          <w:rFonts w:hint="eastAsia" w:ascii="仿宋" w:hAnsi="仿宋" w:eastAsia="仿宋"/>
          <w:color w:val="000000"/>
          <w:sz w:val="32"/>
          <w:szCs w:val="32"/>
        </w:rPr>
        <w:t>基本持平,</w:t>
      </w:r>
      <w:r>
        <w:rPr>
          <w:rFonts w:hint="eastAsia" w:ascii="仿宋" w:hAnsi="仿宋" w:eastAsia="仿宋"/>
          <w:sz w:val="32"/>
          <w:szCs w:val="32"/>
        </w:rPr>
        <w:t>我单位严格执行八项规定，压缩公务活动接待。</w:t>
      </w:r>
    </w:p>
    <w:p>
      <w:pPr>
        <w:spacing w:line="560" w:lineRule="exact"/>
        <w:ind w:firstLine="320" w:firstLineChars="1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（三）年度机关运行经费预算情况。</w:t>
      </w:r>
    </w:p>
    <w:p>
      <w:pPr>
        <w:spacing w:line="560" w:lineRule="exact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怀化市旅游学校机关运行经费一般公共预算拨款521.96万元（其中办公费23万元、印刷费5.5万元、水电费45万元、物业管理费14.6万元，差旅费12万元，维修费240万元，培训费26.87万元，工会，党建费22.6万元，福利费35万元，其他商品服务支出185.5万元）。相比较2018年预算数增加了57.02万元，增加9.3%，原因是维修费增加和人员招生等差旅费的增加。</w:t>
      </w:r>
    </w:p>
    <w:p>
      <w:pPr>
        <w:spacing w:line="560" w:lineRule="exact"/>
        <w:ind w:firstLine="320" w:firstLineChars="1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（四）年度政府采购支出预算情况。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9年怀化市旅游学校政府采购预算总额为240.75万元其中，政府采购货物预算240.75万元，政府采购工程预算0万元、政府采购服务预算0万元。</w:t>
      </w:r>
    </w:p>
    <w:p>
      <w:pPr>
        <w:spacing w:line="560" w:lineRule="exact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（五）预计国有资产占用情况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1.截至2019年12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月31日，本部门无车辆，无50万元以上的专用设备。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2.截至2020年，本部门无新增车辆，无新增50万元以上的通用设备和专用设备。</w:t>
      </w:r>
    </w:p>
    <w:p>
      <w:pPr>
        <w:spacing w:line="560" w:lineRule="exact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（六）预算绩效管理情况</w:t>
      </w:r>
    </w:p>
    <w:p>
      <w:pPr>
        <w:widowControl/>
        <w:spacing w:line="50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按照我区预算绩效管理工作的总体要求，2019年我单位的整体支出2230.74万元，全部实行整体支出绩效目标管理，</w:t>
      </w:r>
      <w:r>
        <w:rPr>
          <w:rFonts w:hint="eastAsia" w:ascii="仿宋" w:hAnsi="仿宋" w:eastAsia="仿宋"/>
          <w:sz w:val="32"/>
          <w:szCs w:val="32"/>
        </w:rPr>
        <w:t>编报绩效目标的项目5个，涉及项目支出719.4万元，其中专项业务费用类项目2个，共48.1万元，基本建设类项目1，共300万元，对个人和家庭补助类项目2个，共371.3万元，产业发展引导类项目0个，共0万元，全部实行项目支出绩效目标管理。</w:t>
      </w:r>
    </w:p>
    <w:p>
      <w:pPr>
        <w:ind w:firstLine="640" w:firstLineChars="200"/>
        <w:textAlignment w:val="baseline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spacing w:line="560" w:lineRule="exact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三公”经费：纳入财政预算管理的“三公“经费，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adjustRightInd w:val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3.本部门（单位）的相关专业名词解释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</w:t>
      </w: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（详见附表）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</w:p>
    <w:p>
      <w:pPr>
        <w:textAlignment w:val="baseline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E993"/>
    <w:multiLevelType w:val="singleLevel"/>
    <w:tmpl w:val="0068E993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401"/>
    <w:rsid w:val="00011517"/>
    <w:rsid w:val="00022D22"/>
    <w:rsid w:val="000249FC"/>
    <w:rsid w:val="000366C1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3897"/>
    <w:rsid w:val="00095DD8"/>
    <w:rsid w:val="000A3651"/>
    <w:rsid w:val="000B6AB0"/>
    <w:rsid w:val="000B763F"/>
    <w:rsid w:val="000C020F"/>
    <w:rsid w:val="000C2AD0"/>
    <w:rsid w:val="000C753F"/>
    <w:rsid w:val="000E0B90"/>
    <w:rsid w:val="000F431E"/>
    <w:rsid w:val="000F560A"/>
    <w:rsid w:val="000F6F41"/>
    <w:rsid w:val="000F79A3"/>
    <w:rsid w:val="000F7F08"/>
    <w:rsid w:val="00103C9C"/>
    <w:rsid w:val="00106E54"/>
    <w:rsid w:val="001111F9"/>
    <w:rsid w:val="00121855"/>
    <w:rsid w:val="00121892"/>
    <w:rsid w:val="00125871"/>
    <w:rsid w:val="00130B10"/>
    <w:rsid w:val="00137845"/>
    <w:rsid w:val="00160BA4"/>
    <w:rsid w:val="0016309A"/>
    <w:rsid w:val="00164451"/>
    <w:rsid w:val="001709BA"/>
    <w:rsid w:val="00175191"/>
    <w:rsid w:val="0017656F"/>
    <w:rsid w:val="00180F5C"/>
    <w:rsid w:val="001821C5"/>
    <w:rsid w:val="00185E2A"/>
    <w:rsid w:val="0019069D"/>
    <w:rsid w:val="001917E0"/>
    <w:rsid w:val="00197C3A"/>
    <w:rsid w:val="001B6A60"/>
    <w:rsid w:val="001B6C0E"/>
    <w:rsid w:val="001C2056"/>
    <w:rsid w:val="001E09BA"/>
    <w:rsid w:val="001E7C7A"/>
    <w:rsid w:val="002041D3"/>
    <w:rsid w:val="00204BF2"/>
    <w:rsid w:val="002115D2"/>
    <w:rsid w:val="002164E9"/>
    <w:rsid w:val="00222048"/>
    <w:rsid w:val="0022734A"/>
    <w:rsid w:val="00231567"/>
    <w:rsid w:val="002367A0"/>
    <w:rsid w:val="0024179E"/>
    <w:rsid w:val="002424E5"/>
    <w:rsid w:val="00265018"/>
    <w:rsid w:val="00275E75"/>
    <w:rsid w:val="00280137"/>
    <w:rsid w:val="00287218"/>
    <w:rsid w:val="00287314"/>
    <w:rsid w:val="00290ADB"/>
    <w:rsid w:val="00292BA0"/>
    <w:rsid w:val="00295377"/>
    <w:rsid w:val="00296AFB"/>
    <w:rsid w:val="00297410"/>
    <w:rsid w:val="002B51C4"/>
    <w:rsid w:val="002C3D3F"/>
    <w:rsid w:val="002C49BB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4043E"/>
    <w:rsid w:val="00352D1E"/>
    <w:rsid w:val="0037153D"/>
    <w:rsid w:val="00373C65"/>
    <w:rsid w:val="00380E17"/>
    <w:rsid w:val="00386F67"/>
    <w:rsid w:val="0038790C"/>
    <w:rsid w:val="0039490C"/>
    <w:rsid w:val="003B23B6"/>
    <w:rsid w:val="003B6F96"/>
    <w:rsid w:val="003B7A39"/>
    <w:rsid w:val="003E1D32"/>
    <w:rsid w:val="0041488F"/>
    <w:rsid w:val="004338B1"/>
    <w:rsid w:val="004345FB"/>
    <w:rsid w:val="004360ED"/>
    <w:rsid w:val="00440774"/>
    <w:rsid w:val="00442218"/>
    <w:rsid w:val="004422C5"/>
    <w:rsid w:val="00450B8B"/>
    <w:rsid w:val="00453CF8"/>
    <w:rsid w:val="00460A53"/>
    <w:rsid w:val="004673D6"/>
    <w:rsid w:val="004809F6"/>
    <w:rsid w:val="00483A1D"/>
    <w:rsid w:val="0048774D"/>
    <w:rsid w:val="00491E1A"/>
    <w:rsid w:val="004A67AE"/>
    <w:rsid w:val="004B06C5"/>
    <w:rsid w:val="004B2DDC"/>
    <w:rsid w:val="004C3D0A"/>
    <w:rsid w:val="004C76F9"/>
    <w:rsid w:val="004D040B"/>
    <w:rsid w:val="004D547A"/>
    <w:rsid w:val="004F426D"/>
    <w:rsid w:val="005022CC"/>
    <w:rsid w:val="00502F5C"/>
    <w:rsid w:val="005131AC"/>
    <w:rsid w:val="005135E1"/>
    <w:rsid w:val="005148CE"/>
    <w:rsid w:val="005153AA"/>
    <w:rsid w:val="00515EB8"/>
    <w:rsid w:val="00540736"/>
    <w:rsid w:val="00542C34"/>
    <w:rsid w:val="005479AD"/>
    <w:rsid w:val="00556BF4"/>
    <w:rsid w:val="00563BDF"/>
    <w:rsid w:val="00565839"/>
    <w:rsid w:val="00566F5C"/>
    <w:rsid w:val="00580E4C"/>
    <w:rsid w:val="0058311F"/>
    <w:rsid w:val="00596912"/>
    <w:rsid w:val="0059755C"/>
    <w:rsid w:val="005A2F82"/>
    <w:rsid w:val="005A3677"/>
    <w:rsid w:val="005A6A17"/>
    <w:rsid w:val="005B4FF1"/>
    <w:rsid w:val="005C02E0"/>
    <w:rsid w:val="005C10ED"/>
    <w:rsid w:val="005C5EA8"/>
    <w:rsid w:val="005D2DD2"/>
    <w:rsid w:val="005D64C6"/>
    <w:rsid w:val="005E0941"/>
    <w:rsid w:val="005F03EC"/>
    <w:rsid w:val="005F6A83"/>
    <w:rsid w:val="005F7D32"/>
    <w:rsid w:val="00611BA5"/>
    <w:rsid w:val="00615D6B"/>
    <w:rsid w:val="00617B57"/>
    <w:rsid w:val="00621DB1"/>
    <w:rsid w:val="006223A9"/>
    <w:rsid w:val="00643199"/>
    <w:rsid w:val="006453F6"/>
    <w:rsid w:val="00645ED1"/>
    <w:rsid w:val="006558DE"/>
    <w:rsid w:val="006613E4"/>
    <w:rsid w:val="00662B3F"/>
    <w:rsid w:val="00663AAE"/>
    <w:rsid w:val="00664EA0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14700"/>
    <w:rsid w:val="007165DE"/>
    <w:rsid w:val="00721D59"/>
    <w:rsid w:val="00737B7C"/>
    <w:rsid w:val="00741CEB"/>
    <w:rsid w:val="0074667C"/>
    <w:rsid w:val="007528C5"/>
    <w:rsid w:val="007558E9"/>
    <w:rsid w:val="00766EF5"/>
    <w:rsid w:val="00772354"/>
    <w:rsid w:val="007762FA"/>
    <w:rsid w:val="007777BF"/>
    <w:rsid w:val="007846B1"/>
    <w:rsid w:val="0079151B"/>
    <w:rsid w:val="00791F9A"/>
    <w:rsid w:val="0079553E"/>
    <w:rsid w:val="00797493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F69CA"/>
    <w:rsid w:val="00801740"/>
    <w:rsid w:val="00820A68"/>
    <w:rsid w:val="00834F8D"/>
    <w:rsid w:val="0084107A"/>
    <w:rsid w:val="008532E3"/>
    <w:rsid w:val="00866B9A"/>
    <w:rsid w:val="0086719A"/>
    <w:rsid w:val="00873A27"/>
    <w:rsid w:val="00885D46"/>
    <w:rsid w:val="008877C5"/>
    <w:rsid w:val="00890BFC"/>
    <w:rsid w:val="008B1A31"/>
    <w:rsid w:val="008B2E88"/>
    <w:rsid w:val="008C4A32"/>
    <w:rsid w:val="008D0BAF"/>
    <w:rsid w:val="008E26FA"/>
    <w:rsid w:val="008F2515"/>
    <w:rsid w:val="0090198A"/>
    <w:rsid w:val="0090700E"/>
    <w:rsid w:val="00907F7A"/>
    <w:rsid w:val="00910D2A"/>
    <w:rsid w:val="00910F52"/>
    <w:rsid w:val="0091262C"/>
    <w:rsid w:val="00924B5C"/>
    <w:rsid w:val="0093150C"/>
    <w:rsid w:val="00936603"/>
    <w:rsid w:val="00936EE7"/>
    <w:rsid w:val="009527FD"/>
    <w:rsid w:val="00954034"/>
    <w:rsid w:val="00955F0F"/>
    <w:rsid w:val="00972841"/>
    <w:rsid w:val="0098130F"/>
    <w:rsid w:val="00982C98"/>
    <w:rsid w:val="009837C3"/>
    <w:rsid w:val="00990412"/>
    <w:rsid w:val="00990DCA"/>
    <w:rsid w:val="00990E30"/>
    <w:rsid w:val="00992E0E"/>
    <w:rsid w:val="009A360C"/>
    <w:rsid w:val="009A4FEB"/>
    <w:rsid w:val="009A7C31"/>
    <w:rsid w:val="009C5879"/>
    <w:rsid w:val="009C6B00"/>
    <w:rsid w:val="009E4671"/>
    <w:rsid w:val="009F0F5D"/>
    <w:rsid w:val="009F6935"/>
    <w:rsid w:val="00A037DA"/>
    <w:rsid w:val="00A07386"/>
    <w:rsid w:val="00A113EA"/>
    <w:rsid w:val="00A124F9"/>
    <w:rsid w:val="00A13B32"/>
    <w:rsid w:val="00A16FB7"/>
    <w:rsid w:val="00A1757E"/>
    <w:rsid w:val="00A17E91"/>
    <w:rsid w:val="00A21972"/>
    <w:rsid w:val="00A2291C"/>
    <w:rsid w:val="00A26CB3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4092"/>
    <w:rsid w:val="00A951E0"/>
    <w:rsid w:val="00A9606B"/>
    <w:rsid w:val="00AA06FE"/>
    <w:rsid w:val="00AA4A0F"/>
    <w:rsid w:val="00AA7E98"/>
    <w:rsid w:val="00AC04CF"/>
    <w:rsid w:val="00AC6E07"/>
    <w:rsid w:val="00AC7D2A"/>
    <w:rsid w:val="00AF29F7"/>
    <w:rsid w:val="00B00D24"/>
    <w:rsid w:val="00B1064B"/>
    <w:rsid w:val="00B13185"/>
    <w:rsid w:val="00B16106"/>
    <w:rsid w:val="00B16C62"/>
    <w:rsid w:val="00B23C8A"/>
    <w:rsid w:val="00B27F20"/>
    <w:rsid w:val="00B31216"/>
    <w:rsid w:val="00B3121A"/>
    <w:rsid w:val="00B313DF"/>
    <w:rsid w:val="00B3548B"/>
    <w:rsid w:val="00B40F03"/>
    <w:rsid w:val="00B41087"/>
    <w:rsid w:val="00B57583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434"/>
    <w:rsid w:val="00BC655F"/>
    <w:rsid w:val="00BC6B27"/>
    <w:rsid w:val="00BE659D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1E1A"/>
    <w:rsid w:val="00C51FC7"/>
    <w:rsid w:val="00C564B5"/>
    <w:rsid w:val="00C6378A"/>
    <w:rsid w:val="00C67742"/>
    <w:rsid w:val="00C70202"/>
    <w:rsid w:val="00C75697"/>
    <w:rsid w:val="00C84199"/>
    <w:rsid w:val="00C906A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E2015"/>
    <w:rsid w:val="00CF0028"/>
    <w:rsid w:val="00D074AB"/>
    <w:rsid w:val="00D20B0E"/>
    <w:rsid w:val="00D35C30"/>
    <w:rsid w:val="00D37AC4"/>
    <w:rsid w:val="00D4257E"/>
    <w:rsid w:val="00D4446B"/>
    <w:rsid w:val="00D46AE5"/>
    <w:rsid w:val="00D52831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51ED"/>
    <w:rsid w:val="00DE54DE"/>
    <w:rsid w:val="00DF57B4"/>
    <w:rsid w:val="00E01955"/>
    <w:rsid w:val="00E07DC8"/>
    <w:rsid w:val="00E133E9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D1762"/>
    <w:rsid w:val="00ED5D44"/>
    <w:rsid w:val="00ED77F6"/>
    <w:rsid w:val="00ED7988"/>
    <w:rsid w:val="00EE4206"/>
    <w:rsid w:val="00EE42BD"/>
    <w:rsid w:val="00EF5BBD"/>
    <w:rsid w:val="00F01EF2"/>
    <w:rsid w:val="00F10343"/>
    <w:rsid w:val="00F14C6A"/>
    <w:rsid w:val="00F24ECC"/>
    <w:rsid w:val="00F268CC"/>
    <w:rsid w:val="00F30003"/>
    <w:rsid w:val="00F30D1B"/>
    <w:rsid w:val="00F42BD9"/>
    <w:rsid w:val="00F43ACB"/>
    <w:rsid w:val="00F50B9F"/>
    <w:rsid w:val="00F62751"/>
    <w:rsid w:val="00F6490F"/>
    <w:rsid w:val="00F662E8"/>
    <w:rsid w:val="00F77065"/>
    <w:rsid w:val="00F9063B"/>
    <w:rsid w:val="00F96525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F71B4"/>
    <w:rsid w:val="00FF7AC0"/>
    <w:rsid w:val="028046BB"/>
    <w:rsid w:val="02E61D1D"/>
    <w:rsid w:val="03B33980"/>
    <w:rsid w:val="04393C15"/>
    <w:rsid w:val="05E64F8C"/>
    <w:rsid w:val="074D06B9"/>
    <w:rsid w:val="087C41E8"/>
    <w:rsid w:val="08C4481B"/>
    <w:rsid w:val="0A2F5B55"/>
    <w:rsid w:val="0D813A3B"/>
    <w:rsid w:val="0EBF45B6"/>
    <w:rsid w:val="0F0E2322"/>
    <w:rsid w:val="116B06A8"/>
    <w:rsid w:val="16C6111B"/>
    <w:rsid w:val="1AAA3B81"/>
    <w:rsid w:val="1DFA1191"/>
    <w:rsid w:val="1E311414"/>
    <w:rsid w:val="221E3573"/>
    <w:rsid w:val="229B353C"/>
    <w:rsid w:val="22EB215B"/>
    <w:rsid w:val="236B6F10"/>
    <w:rsid w:val="23BE1E3F"/>
    <w:rsid w:val="240721D8"/>
    <w:rsid w:val="25486C85"/>
    <w:rsid w:val="255444F9"/>
    <w:rsid w:val="2868028E"/>
    <w:rsid w:val="2DB644B8"/>
    <w:rsid w:val="2E77292B"/>
    <w:rsid w:val="2E8517A3"/>
    <w:rsid w:val="31E43822"/>
    <w:rsid w:val="3239076A"/>
    <w:rsid w:val="32A63FC7"/>
    <w:rsid w:val="3417354A"/>
    <w:rsid w:val="35F150A7"/>
    <w:rsid w:val="36A244DD"/>
    <w:rsid w:val="36CB3748"/>
    <w:rsid w:val="36D75608"/>
    <w:rsid w:val="41B535E8"/>
    <w:rsid w:val="421A5CCB"/>
    <w:rsid w:val="432C1C57"/>
    <w:rsid w:val="448C0A36"/>
    <w:rsid w:val="45782F8C"/>
    <w:rsid w:val="46225019"/>
    <w:rsid w:val="48595BC8"/>
    <w:rsid w:val="49285C31"/>
    <w:rsid w:val="4EAD2765"/>
    <w:rsid w:val="537E1F3F"/>
    <w:rsid w:val="54FE52D8"/>
    <w:rsid w:val="566867C0"/>
    <w:rsid w:val="56800992"/>
    <w:rsid w:val="59911AF8"/>
    <w:rsid w:val="5B322CBB"/>
    <w:rsid w:val="5E9A6273"/>
    <w:rsid w:val="62B95245"/>
    <w:rsid w:val="648A55BD"/>
    <w:rsid w:val="6BBA54E4"/>
    <w:rsid w:val="6E6106D7"/>
    <w:rsid w:val="6EFF79B2"/>
    <w:rsid w:val="700C2B20"/>
    <w:rsid w:val="71720CA6"/>
    <w:rsid w:val="71783DBB"/>
    <w:rsid w:val="730D673E"/>
    <w:rsid w:val="74903226"/>
    <w:rsid w:val="75575BFE"/>
    <w:rsid w:val="7576705D"/>
    <w:rsid w:val="7809505A"/>
    <w:rsid w:val="78A811CC"/>
    <w:rsid w:val="79CE36AC"/>
    <w:rsid w:val="7FE277E6"/>
    <w:rsid w:val="7FF43B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307</Words>
  <Characters>1751</Characters>
  <Lines>14</Lines>
  <Paragraphs>4</Paragraphs>
  <TotalTime>1</TotalTime>
  <ScaleCrop>false</ScaleCrop>
  <LinksUpToDate>false</LinksUpToDate>
  <CharactersWithSpaces>2054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2018-03-30T07:44:00Z</dcterms:created>
  <dc:creator>Sky123.Org</dc:creator>
  <cp:lastModifiedBy>预算股 黄胜</cp:lastModifiedBy>
  <cp:lastPrinted>2001-12-31T16:27:00Z</cp:lastPrinted>
  <dcterms:modified xsi:type="dcterms:W3CDTF">2021-06-06T09:59:53Z</dcterms:modified>
  <dc:title>区林业局2013年“中秋”防火值班表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DB67BA9F9AFE4B8798C403C29625309E</vt:lpwstr>
  </property>
</Properties>
</file>