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怀化市鹤城区2024年转移支付情况说明</w:t>
      </w:r>
    </w:p>
    <w:p>
      <w:pPr>
        <w:ind w:firstLine="2730" w:firstLineChars="1300"/>
        <w:rPr>
          <w:rFonts w:hint="eastAsia"/>
          <w:lang w:val="en-US" w:eastAsia="zh-CN"/>
        </w:rPr>
      </w:pPr>
    </w:p>
    <w:p>
      <w:pPr>
        <w:widowControl/>
        <w:spacing w:line="600" w:lineRule="exact"/>
        <w:ind w:firstLine="630" w:firstLineChars="196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第一部分 一般性转移支付收入预计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2024年我区预计收到一般性转移性收入21.3042亿元，其中，上级补助收入17.1734亿元（返还性收入0.9895亿元，一般性转移支付收入12.7801亿元，专项转移支付收入3.4038亿元），上年结余（结转）收入0.4808亿元，动用预算稳定调节基金0亿元，调入资金3.65亿元。</w:t>
      </w:r>
    </w:p>
    <w:p>
      <w:pPr>
        <w:widowControl/>
        <w:spacing w:line="600" w:lineRule="exact"/>
        <w:ind w:firstLine="630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eastAsia="黑体"/>
          <w:bCs/>
          <w:kern w:val="0"/>
          <w:sz w:val="32"/>
          <w:szCs w:val="32"/>
        </w:rPr>
        <w:t>税收返还和转移支付情况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2024年</w:t>
      </w:r>
      <w:r>
        <w:rPr>
          <w:rFonts w:eastAsia="仿宋_GB2312"/>
          <w:b w:val="0"/>
          <w:bCs w:val="0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鹤城区</w:t>
      </w:r>
      <w:r>
        <w:rPr>
          <w:rFonts w:eastAsia="仿宋_GB2312"/>
          <w:color w:val="000000"/>
          <w:sz w:val="32"/>
          <w:szCs w:val="32"/>
        </w:rPr>
        <w:t>税收返还和转移支付预算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21.3042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，其中：</w:t>
      </w:r>
    </w:p>
    <w:p>
      <w:pPr>
        <w:spacing w:line="60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  <w:lang w:eastAsia="zh-CN"/>
        </w:rPr>
        <w:t>（</w:t>
      </w:r>
      <w:r>
        <w:rPr>
          <w:rFonts w:eastAsia="楷体_GB2312"/>
          <w:b/>
          <w:color w:val="000000"/>
          <w:sz w:val="32"/>
          <w:szCs w:val="32"/>
        </w:rPr>
        <w:t>一）税收返还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税收返还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0.9895亿元</w:t>
      </w:r>
      <w:r>
        <w:rPr>
          <w:rFonts w:eastAsia="仿宋_GB2312"/>
          <w:color w:val="000000"/>
          <w:sz w:val="32"/>
          <w:szCs w:val="32"/>
        </w:rPr>
        <w:t>，其中：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增值税和消费税返还等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0.4857亿元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所得税基数返还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0.0679亿元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成品油税费改革税收返还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0.4359亿元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（二）一般性转移支付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一般性转移支付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12.7801亿元</w:t>
      </w:r>
      <w:r>
        <w:rPr>
          <w:rFonts w:eastAsia="仿宋_GB2312"/>
          <w:color w:val="000000"/>
          <w:sz w:val="32"/>
          <w:szCs w:val="32"/>
        </w:rPr>
        <w:t>，其中：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1. </w:t>
      </w:r>
      <w:r>
        <w:rPr>
          <w:rFonts w:hint="eastAsia" w:eastAsia="仿宋_GB2312"/>
          <w:color w:val="000000"/>
          <w:sz w:val="32"/>
          <w:szCs w:val="32"/>
        </w:rPr>
        <w:t>均衡性转移支付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3.4304亿元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 </w:t>
      </w:r>
      <w:r>
        <w:rPr>
          <w:rFonts w:hint="eastAsia" w:eastAsia="仿宋_GB2312"/>
          <w:color w:val="000000"/>
          <w:sz w:val="32"/>
          <w:szCs w:val="32"/>
        </w:rPr>
        <w:t>重点生态功能区转移支付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0.5142亿元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3.县级基本财力保障机制奖补资金0.4718亿元；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4.体制补助收入0.1438亿元；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5.结算补助收入1.8953亿元；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6.企业事业单位划转补助收入0.0283亿元；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7.固定数额补助收入0.5412亿元；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8.革命老区转移支付收入0.014亿元；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9.贫困地区转移支付收入0亿元；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10.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公共安全共同财政事权转移支付收入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0.0107亿元；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11.教育共同财政事权转移支付收入1.6948亿元；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12.巩固脱贫攻坚成果衔接乡村振兴转移支付收入0.3692亿元；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13.文化旅游体育与传媒共同财政事权转移支付收入0.0261亿元；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14.社会保障和就业共同财政事权转移支付收入1.4828亿元；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15.医疗卫生共同财政事权转移支付收入0.7088亿元；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16.节能环保共同财政事权转移支付收入0.0179亿元；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17.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农林水共同财政事权转移支付收入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0.4998亿元；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18.交通运输共同财政事权转移支付收入0.065亿元；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19.住房保障共同财政事权转移支付收入 0.5536亿元；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20.其他一般性转移支付收入0.1485亿元；</w:t>
      </w:r>
    </w:p>
    <w:p>
      <w:pPr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21.增值税留抵退税转移支付收入0.0458亿元；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22.其他退税减税降费转移支付收入0.1004亿元；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23.补充县区财力转移支付收入1.0228亿元；</w:t>
      </w:r>
    </w:p>
    <w:p>
      <w:pPr>
        <w:pStyle w:val="2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24.灾害防治及应急管理共同财政事权转移支付收入0.0173亿元；</w:t>
      </w:r>
    </w:p>
    <w:p>
      <w:pPr>
        <w:pStyle w:val="2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25.其他共同财政事权转移支付收入0.0004亿元；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（三）专项转移支付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专项转移支付</w:t>
      </w:r>
      <w:r>
        <w:rPr>
          <w:rFonts w:hint="eastAsia" w:eastAsia="仿宋_GB2312"/>
          <w:color w:val="000000"/>
          <w:sz w:val="32"/>
          <w:szCs w:val="32"/>
        </w:rPr>
        <w:t>3.4038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亿元，</w:t>
      </w:r>
      <w:r>
        <w:rPr>
          <w:rFonts w:eastAsia="仿宋_GB2312"/>
          <w:color w:val="000000"/>
          <w:sz w:val="32"/>
          <w:szCs w:val="32"/>
        </w:rPr>
        <w:t>其中：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一般公共服务支出</w:t>
      </w:r>
      <w:r>
        <w:rPr>
          <w:rFonts w:hint="eastAsia" w:eastAsia="仿宋_GB2312"/>
          <w:color w:val="000000"/>
          <w:sz w:val="32"/>
          <w:szCs w:val="32"/>
        </w:rPr>
        <w:t>0.1122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国防支出0.0029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公共安全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支出0.0093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教育支出</w:t>
      </w:r>
      <w:r>
        <w:rPr>
          <w:rFonts w:hint="eastAsia" w:eastAsia="仿宋_GB2312"/>
          <w:color w:val="000000"/>
          <w:sz w:val="32"/>
          <w:szCs w:val="32"/>
        </w:rPr>
        <w:t>0.224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科学技术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</w:rPr>
        <w:t>0.0085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文化体育与传媒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</w:rPr>
        <w:t>0.008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社会保障和就业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</w:rPr>
        <w:t>0.2234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卫生健康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</w:rPr>
        <w:t>0.1352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节能环保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</w:rPr>
        <w:t>0.0135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城乡社区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</w:rPr>
        <w:t>0.2752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农林水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</w:rPr>
        <w:t>0.4454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交通运输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</w:rPr>
        <w:t>0.0489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资源勘探信息等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</w:rPr>
        <w:t>0.0466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商业服务业等0.0777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金融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</w:rPr>
        <w:t>0.0186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自然资源海洋气象等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</w:rPr>
        <w:t>0.0356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住房保障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</w:rPr>
        <w:t>0.2001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粮油物资储备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</w:rPr>
        <w:t>0.0121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灾害防治及应急管理支出0.0066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其他支出1.5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亿元。</w:t>
      </w:r>
    </w:p>
    <w:p>
      <w:pPr>
        <w:ind w:firstLine="64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第二部分  政府性基金转移支付收入预计</w:t>
      </w:r>
    </w:p>
    <w:p>
      <w:pPr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2024年我区预计收到一政府性基金转移收入0.19亿元，其中，政府性基金补助收入0.18亿元，上年结转结余收入0.01亿元。</w:t>
      </w:r>
    </w:p>
    <w:p>
      <w:pPr>
        <w:numPr>
          <w:ilvl w:val="0"/>
          <w:numId w:val="0"/>
        </w:numPr>
        <w:ind w:left="641" w:left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第二部分  国有资本经费预算转移支付收入预计</w:t>
      </w:r>
    </w:p>
    <w:p>
      <w:pPr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lang w:val="en-US" w:eastAsia="zh-CN"/>
        </w:rPr>
        <w:t>2024年我区预计国有资本经营转移收入0.126亿元。其中，国有资本经营预算转移支付收入0.0325亿元，上年结转结余收入0.0935亿元。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B793C"/>
    <w:multiLevelType w:val="singleLevel"/>
    <w:tmpl w:val="470B79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WZlMjJjOTJkODkwMWFlMzA4ZTA0ZmVhN2VlMGYifQ=="/>
  </w:docVars>
  <w:rsids>
    <w:rsidRoot w:val="531C7AD9"/>
    <w:rsid w:val="009B2B92"/>
    <w:rsid w:val="06C07699"/>
    <w:rsid w:val="07E41822"/>
    <w:rsid w:val="0DFE1403"/>
    <w:rsid w:val="139D35E0"/>
    <w:rsid w:val="1A1E6C69"/>
    <w:rsid w:val="1CD21158"/>
    <w:rsid w:val="1F91221C"/>
    <w:rsid w:val="285E78A3"/>
    <w:rsid w:val="2E3F09FD"/>
    <w:rsid w:val="310D011D"/>
    <w:rsid w:val="34EF1477"/>
    <w:rsid w:val="4C472984"/>
    <w:rsid w:val="531C7AD9"/>
    <w:rsid w:val="57905034"/>
    <w:rsid w:val="698B5FB0"/>
    <w:rsid w:val="6EDA6267"/>
    <w:rsid w:val="7C8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996</Words>
  <Characters>1318</Characters>
  <Lines>0</Lines>
  <Paragraphs>0</Paragraphs>
  <TotalTime>135</TotalTime>
  <ScaleCrop>false</ScaleCrop>
  <LinksUpToDate>false</LinksUpToDate>
  <CharactersWithSpaces>1331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2023-03-03T02:25:00Z</dcterms:created>
  <dc:creator>预算股 杨司锦</dc:creator>
  <cp:lastModifiedBy>日月日月</cp:lastModifiedBy>
  <dcterms:modified xsi:type="dcterms:W3CDTF">2024-03-15T01:58:15Z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A275211EAFB94ACE9137BDB72EDBDFF5_13</vt:lpwstr>
  </property>
</Properties>
</file>