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3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30"/>
        <w:textAlignment w:val="auto"/>
        <w:rPr>
          <w:rFonts w:ascii="楷体_GB2312"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30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鹤财预〔2022〕12号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ascii="方正小标宋简体" w:hAnsi="黑体" w:eastAsia="方正小标宋简体"/>
          <w:b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 w:val="0"/>
          <w:sz w:val="44"/>
          <w:szCs w:val="44"/>
        </w:rPr>
        <w:t>怀化市鹤城区财政局关于做好2022年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ascii="方正小标宋简体" w:hAnsi="黑体" w:eastAsia="方正小标宋简体"/>
          <w:b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 w:val="0"/>
          <w:sz w:val="44"/>
          <w:szCs w:val="44"/>
        </w:rPr>
        <w:t>部门预算公开工作的通知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仿宋_GB2312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各街道办事处、乡镇人民政府，区直各预算单位：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根据《中华人民共和国预算法》、《中华人民共和国政府信息公开条例》（国务院令第492号）和《湖南省财政预决算公开操作规程》（湘财预〔2017〕28号）等有关文件规定，现就做好我区2022年部门预算公开工作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一、公开主体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按照“谁公开、谁负责、谁解释”的原则，区属128个一级部门预算单位为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公开主体。涉密部门除一般公共预算财政拨款安排的“三公”经费情况外，依法规定的国家秘密信息不公开。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jc w:val="left"/>
        <w:textAlignment w:val="auto"/>
        <w:outlineLvl w:val="9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（一）部门预算。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一是公开部门收支总表3张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，分别为：①《收支总表》②《收入总表》③《支出总表》。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二是公开</w:t>
      </w:r>
      <w:r>
        <w:rPr>
          <w:rFonts w:hint="eastAsia" w:ascii="仿宋_GB2312" w:hAnsi="宋体" w:eastAsia="仿宋_GB2312" w:cs="Arial"/>
          <w:b/>
          <w:sz w:val="32"/>
          <w:szCs w:val="32"/>
        </w:rPr>
        <w:t>财政拨款收支表5张，</w:t>
      </w:r>
      <w:r>
        <w:rPr>
          <w:rFonts w:hint="eastAsia" w:ascii="仿宋_GB2312" w:hAnsi="宋体" w:eastAsia="仿宋_GB2312" w:cs="Arial"/>
          <w:sz w:val="32"/>
          <w:szCs w:val="32"/>
        </w:rPr>
        <w:t>分别为：①《财政拨款收支总表》②《本年一般公共预算支出表》③《本年一般公共预算基本支出表》④《一般公共预算“三公”经费支出表》⑤《政府性基金预算支出表》。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 w:cs="Arial"/>
          <w:color w:val="auto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sz w:val="32"/>
          <w:szCs w:val="32"/>
        </w:rPr>
        <w:t>以上表格可在</w:t>
      </w:r>
      <w:r>
        <w:rPr>
          <w:rFonts w:hint="eastAsia" w:ascii="仿宋_GB2312" w:hAnsi="宋体" w:eastAsia="仿宋_GB2312" w:cs="Arial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Arial"/>
          <w:color w:val="auto"/>
          <w:sz w:val="32"/>
          <w:szCs w:val="32"/>
        </w:rPr>
        <w:t>一体化系统中</w:t>
      </w:r>
      <w:r>
        <w:rPr>
          <w:rFonts w:hint="eastAsia" w:ascii="仿宋_GB2312" w:hAnsi="宋体" w:eastAsia="仿宋_GB2312" w:cs="Arial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宋体" w:eastAsia="仿宋_GB2312" w:cs="Arial"/>
          <w:color w:val="auto"/>
          <w:sz w:val="32"/>
          <w:szCs w:val="32"/>
        </w:rPr>
        <w:t>预算报表</w:t>
      </w:r>
      <w:r>
        <w:rPr>
          <w:rFonts w:hint="eastAsia" w:ascii="仿宋_GB2312" w:hAnsi="宋体" w:eastAsia="仿宋_GB2312" w:cs="Arial"/>
          <w:color w:val="auto"/>
          <w:sz w:val="32"/>
          <w:szCs w:val="32"/>
          <w:lang w:eastAsia="zh-CN"/>
        </w:rPr>
        <w:t>中的</w:t>
      </w:r>
      <w:r>
        <w:rPr>
          <w:rFonts w:hint="eastAsia" w:ascii="仿宋_GB2312" w:hAnsi="宋体" w:eastAsia="仿宋_GB2312" w:cs="Arial"/>
          <w:color w:val="auto"/>
          <w:sz w:val="32"/>
          <w:szCs w:val="32"/>
        </w:rPr>
        <w:t>鹤城部门预算公开中导出。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黑体" w:eastAsia="楷体_GB2312" w:cs="仿宋_GB2312"/>
          <w:b/>
          <w:bCs/>
          <w:sz w:val="32"/>
          <w:szCs w:val="32"/>
        </w:rPr>
        <w:t>（二）</w:t>
      </w:r>
      <w:r>
        <w:rPr>
          <w:rFonts w:hint="eastAsia" w:ascii="楷体_GB2312" w:hAnsi="黑体" w:eastAsia="楷体_GB2312" w:cs="仿宋_GB2312"/>
          <w:b/>
          <w:bCs/>
          <w:sz w:val="32"/>
          <w:szCs w:val="32"/>
          <w:lang w:eastAsia="zh-CN"/>
        </w:rPr>
        <w:t>预算信息</w:t>
      </w:r>
      <w:r>
        <w:rPr>
          <w:rFonts w:hint="eastAsia" w:ascii="楷体_GB2312" w:hAnsi="黑体" w:eastAsia="楷体_GB2312" w:cs="仿宋_GB2312"/>
          <w:b/>
          <w:bCs/>
          <w:sz w:val="32"/>
          <w:szCs w:val="32"/>
        </w:rPr>
        <w:t>公开</w:t>
      </w:r>
      <w:r>
        <w:rPr>
          <w:rFonts w:hint="eastAsia" w:ascii="楷体_GB2312" w:hAnsi="黑体" w:eastAsia="楷体_GB2312" w:cs="仿宋_GB2312"/>
          <w:b/>
          <w:bCs/>
          <w:sz w:val="32"/>
          <w:szCs w:val="32"/>
          <w:lang w:eastAsia="zh-CN"/>
        </w:rPr>
        <w:t>文字</w:t>
      </w:r>
      <w:r>
        <w:rPr>
          <w:rFonts w:hint="eastAsia" w:ascii="楷体_GB2312" w:hAnsi="黑体" w:eastAsia="楷体_GB2312" w:cs="仿宋_GB2312"/>
          <w:b/>
          <w:bCs/>
          <w:sz w:val="32"/>
          <w:szCs w:val="32"/>
        </w:rPr>
        <w:t>说明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预算单位应当在公开上述表格的同时，对表格内容进行说明，以便于社会公众理解部门预算信息。文字说明主要包括目录、本部门职责、机构设置情况、部门预算单位构成、预算收支增减变化、“三公”经费增减变化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一般性支出、机关运行经费、政府采购安排、预算绩效管理、国有资产占用等情况的说明，并对专业性较强的名词进行解释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</w:t>
      </w:r>
      <w:r>
        <w:rPr>
          <w:rFonts w:hint="eastAsia" w:ascii="仿宋_GB2312" w:hAnsi="宋体" w:eastAsia="仿宋_GB2312"/>
          <w:sz w:val="32"/>
          <w:szCs w:val="32"/>
        </w:rPr>
        <w:t>附件：2022年度XX单位部门预算公开说明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参考模板）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黑体" w:hAnsi="宋体" w:eastAsia="黑体" w:cs="Arial"/>
          <w:sz w:val="32"/>
          <w:szCs w:val="32"/>
        </w:rPr>
      </w:pPr>
      <w:r>
        <w:rPr>
          <w:rFonts w:hint="eastAsia" w:ascii="黑体" w:hAnsi="宋体" w:eastAsia="黑体" w:cs="Arial"/>
          <w:sz w:val="32"/>
          <w:szCs w:val="32"/>
        </w:rPr>
        <w:t>三、公开形式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公开以网上统一公开为主要形式。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各预算单位按要求上报公开信息后，由区财政部门在鹤城区政府门户网站上统一公开；有门户网站的预算单位，在各自门户网站同步公开。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</w:t>
      </w:r>
      <w:r>
        <w:rPr>
          <w:rFonts w:hint="eastAsia" w:ascii="黑体" w:hAnsi="宋体" w:eastAsia="黑体"/>
          <w:kern w:val="0"/>
          <w:sz w:val="32"/>
          <w:szCs w:val="32"/>
        </w:rPr>
        <w:t>公开时间及实施步骤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2022年部门预算信息于5月31日前全部完成公开。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（一）纳入本次预算公开范围的单位，请于5月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日前将纸质资料（单位领导签字并加盖公章）及电子资料报区财政部门归口股室。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（二）5月31日前由区财政局信息中心将股室汇总审核后的资料统一在怀化市</w:t>
      </w:r>
      <w:r>
        <w:rPr>
          <w:rFonts w:hint="eastAsia" w:ascii="仿宋_GB2312" w:hAnsi="仿宋_GB2312" w:eastAsia="仿宋_GB2312" w:cs="仿宋_GB2312"/>
          <w:sz w:val="32"/>
          <w:szCs w:val="32"/>
        </w:rPr>
        <w:t>鹤城区人民政府门户网站财政信息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公开专栏进行公开。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（一）加强领导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各预算单位应成立预算公开领导小组，做好统筹协调，安排专人负责，确保部门预算公开及时、规范、完整。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（二）明确责任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各预算单位明确“谁公开，谁负责，谁解释”的要求，按时将纸质档和电子档交由归口股室审核。如有错报漏报情况，预算单位自行负责。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（三）实行考核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本次部门预算公开工作将纳入全区财政管理工作考核范围，评分结果与下年度部门预算资金安排衔接，请各预算单位高度重视，圆满完成我区预算信息公开工作。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附件：2022年度XX单位部门预算公开说明 （参考模板）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怀化市鹤城区财政局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auto"/>
        <w:rPr>
          <w:rFonts w:eastAsia="黑体"/>
        </w:rPr>
      </w:pPr>
      <w:r>
        <w:rPr>
          <w:rFonts w:eastAsia="黑体"/>
        </w:rPr>
        <w:t>–––––––––––––––––––––––––––––––––––––––––––––––––</w:t>
      </w:r>
      <w:r>
        <w:t>––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56" w:firstLineChars="49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怀化市鹤城区财政局办公室      2022年5月26日印发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auto"/>
        <w:rPr>
          <w:rFonts w:hint="eastAsia" w:ascii="宋体" w:hAnsi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80" w:bottom="1440" w:left="1780" w:header="851" w:footer="992" w:gutter="0"/>
          <w:pgNumType w:fmt="decimal" w:start="1"/>
          <w:cols w:space="720" w:num="1"/>
          <w:docGrid w:type="lines" w:linePitch="312" w:charSpace="0"/>
        </w:sectPr>
      </w:pPr>
      <w:r>
        <w:t>–––––––––––––––––––––––––––––––</w:t>
      </w:r>
      <w:r>
        <w:rPr>
          <w:rFonts w:eastAsia="黑体"/>
        </w:rPr>
        <w:t>––</w:t>
      </w:r>
      <w:r>
        <w:t>––––––––––––––––––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2022年度XX单位部门预算公开说明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50" w:line="560" w:lineRule="exact"/>
        <w:jc w:val="center"/>
        <w:textAlignment w:val="auto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楷体_GB2312"/>
          <w:bCs/>
          <w:kern w:val="0"/>
          <w:sz w:val="32"/>
          <w:szCs w:val="32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7" w:firstLineChars="196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  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（1）收入预算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年度一般公共预算财政拨款支出情况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（2）项目支出</w:t>
      </w:r>
    </w:p>
    <w:p>
      <w:pPr>
        <w:keepNext w:val="0"/>
        <w:keepLines w:val="0"/>
        <w:pageBreakBefore w:val="0"/>
        <w:widowControl w:val="0"/>
        <w:tabs>
          <w:tab w:val="left" w:pos="1003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（3）政府性基金支出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（一）年度“三公”经费预算情况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（二）年度机关运行经费预算情况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（四）年度政府采购预算情况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eastAsia="仿宋_GB2312"/>
          <w:sz w:val="32"/>
          <w:szCs w:val="32"/>
        </w:rPr>
        <w:t>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（六）预算绩效管理情况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六、专业名词解释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黑体" w:eastAsia="黑体"/>
          <w:sz w:val="32"/>
          <w:szCs w:val="32"/>
        </w:rPr>
        <w:sectPr>
          <w:footerReference r:id="rId5" w:type="default"/>
          <w:pgSz w:w="11906" w:h="16838"/>
          <w:pgMar w:top="1440" w:right="1780" w:bottom="1440" w:left="178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……（请按照本部门的职责如实认真填写）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例：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作为一般部门预算单位，纳入2022年部门预算编制范围的二级部门预算单位包括：……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27" w:firstLineChars="196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本部门预算为汇总预算，纳入编制范围的预算单位包括：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27" w:firstLineChars="196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1、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部门本级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27" w:firstLineChars="196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2、</w:t>
      </w:r>
      <w:r>
        <w:rPr>
          <w:rFonts w:hint="eastAsia" w:eastAsia="仿宋_GB2312"/>
          <w:sz w:val="32"/>
          <w:szCs w:val="32"/>
          <w:lang w:val="en-US" w:eastAsia="zh-CN"/>
        </w:rPr>
        <w:t>下属xx几个二级机构。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0" w:firstLineChars="196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如只有一级机构，则填写</w:t>
      </w:r>
      <w:r>
        <w:rPr>
          <w:rFonts w:eastAsia="仿宋_GB2312"/>
          <w:b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部门只有本级，没有</w:t>
      </w:r>
      <w:r>
        <w:rPr>
          <w:rFonts w:hint="eastAsia" w:eastAsia="仿宋_GB2312"/>
          <w:sz w:val="32"/>
          <w:szCs w:val="32"/>
          <w:lang w:eastAsia="zh-CN"/>
        </w:rPr>
        <w:t>下属二级机构</w:t>
      </w:r>
      <w:r>
        <w:rPr>
          <w:rFonts w:eastAsia="仿宋_GB2312"/>
          <w:sz w:val="32"/>
          <w:szCs w:val="32"/>
        </w:rPr>
        <w:t>，因此本部门预算仅含本级预算。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eastAsia="黑体"/>
          <w:bCs/>
          <w:kern w:val="0"/>
          <w:sz w:val="32"/>
          <w:szCs w:val="32"/>
        </w:rPr>
        <w:t>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（一）收入预算：</w:t>
      </w:r>
      <w:r>
        <w:rPr>
          <w:rFonts w:hint="eastAsia" w:ascii="仿宋_GB2312"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年本部门收入预算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万元，¨¨¨。收入较去年增加（减少）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万元，主要是……。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（二）支出预算：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年本部门支出预算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万元，其中，一般公共服务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万元，公共安全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万元，教育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万元，科学技术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万元¨¨¨。支出较去年增加（减少）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万元，主要是……。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0" w:firstLineChars="196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（注：与上年的收支增减对比情况一定要作出说明）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一般公共预算拨款支出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outlineLvl w:val="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2022年年初预算数为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万元，是指为保障单位机构正常运转、完成日常工作任务而发生的各项支出，包括用于基本工资、津贴补贴等人员经费以及办公费、印刷费、水电费、物业管理费等日常公用经费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outlineLvl w:val="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（二）项目支出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2022年年初预算数为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万元，是指单位为完成特定行政工作任务或事业发展目标而发生的支出，包括有产业发展引导类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万元、专项业务费用类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万元、基本建设类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万元、对个人和家庭补助类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jc w:val="left"/>
        <w:textAlignment w:val="auto"/>
        <w:outlineLvl w:val="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（三）政府性基金支出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2022年政府性基金支出为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eastAsia="仿宋_GB2312"/>
          <w:sz w:val="32"/>
          <w:szCs w:val="32"/>
        </w:rPr>
        <w:t>万元，具体安排为......。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jc w:val="left"/>
        <w:textAlignment w:val="auto"/>
        <w:outlineLvl w:val="9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备注：如当年无政府性基金支出预算，请说明：2022年无政府性基金支出。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outlineLvl w:val="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（一）“三公”经费预算：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2022年“三公”经费预算数为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万元（其中：公务用车购置费是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万元。2022年“三公”经费预算较2021年预算数减少（或增加）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万元，下降（或提高）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%，主要原因是……。（较上年增减变动情况说明，不论增加还是减少都要说明原因；如无增减变化情况，请说明：2022年“三公”经费预算与2021年预算数持平。）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outlineLvl w:val="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（二）年度机关运行经费预算情况：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局机关运行经费一般公共预算拨款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万元（其中：办公费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万元、印刷费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万元，维护费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万元，公车运行维护费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万元等，必须列出所有明细科目金额），相比2021年预算数减少（或增加）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万元，下降（或增长）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备注：机关运行经费指本部门的运行经费，公开口径为一般公共预算基本支出中的商品和服务支出情况。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outlineLvl w:val="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eastAsia="仿宋_GB2312"/>
          <w:kern w:val="0"/>
          <w:sz w:val="32"/>
          <w:szCs w:val="32"/>
        </w:rPr>
        <w:t>年本部门会议费预算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kern w:val="0"/>
          <w:sz w:val="32"/>
          <w:szCs w:val="32"/>
        </w:rPr>
        <w:t>人，内容为……；培训费预算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kern w:val="0"/>
          <w:sz w:val="32"/>
          <w:szCs w:val="32"/>
        </w:rPr>
        <w:t>万元，拟开展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培训，人数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kern w:val="0"/>
          <w:sz w:val="32"/>
          <w:szCs w:val="32"/>
        </w:rPr>
        <w:t>人，内容为……；拟举办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kern w:val="0"/>
          <w:sz w:val="32"/>
          <w:szCs w:val="32"/>
        </w:rPr>
        <w:t>等节庆、晚会、论坛、赛事活动，经费预算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eastAsia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（注：三类会议、培训活动，节庆、晚会、论坛、赛事等活动，请分项列明活动计划及经费预算情况）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outlineLvl w:val="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（四）年度政府采购支出预算情况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单位政府采购预算总额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万元，其中，政府采购货物预算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万元，政府采购工程预算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备注：如当年无政府采购支出预算，请说明：2022年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单位政府采购预算总额为0万元。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outlineLvl w:val="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（五）</w:t>
      </w:r>
      <w:r>
        <w:rPr>
          <w:rFonts w:eastAsia="楷体_GB2312"/>
          <w:b/>
          <w:sz w:val="32"/>
          <w:szCs w:val="32"/>
        </w:rPr>
        <w:t>国有资产占用使用及新增资产配置情况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1、截至2021年12月31日，本部门共有车辆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辆，其中，一般公务用车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辆、一般执法执勤用车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辆、特种专业技术用车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辆、其他用车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辆。单位价值50 万元以上通用设备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台（套），单价100 万元以上专用设备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jc w:val="left"/>
        <w:textAlignment w:val="auto"/>
        <w:outlineLvl w:val="9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备注：如截至上年底无车辆和无专用设备，请说明：截至2021年12月31日，本部门无车辆，无50万元以上的专用设备。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2、2022年，本部门拟新增资产具体为：公务用车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辆，价值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万元；单价50万元以上通用设备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台（套）；单价100万元以上的专用设备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jc w:val="left"/>
        <w:textAlignment w:val="auto"/>
        <w:outlineLvl w:val="9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备注：如2022年无新增车辆和无专用设备，请说明：截至2022年，本部门无新增车辆，无新增50万元以上的通用设备和专用设备。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outlineLvl w:val="9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（六）预算绩效管理情况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按照我区预算绩效管理工作的总体要求，2022年我单位整体支出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万元，全部实行整体支出绩效目标管理，编报绩效目标的项目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个，涉及项目支出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万元，其中专项业务费用类项目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个，共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万元，基本建设类项目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个，共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万元，对个人和家庭补助类项目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个，共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万元，产业发展引导类项目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个，共</w:t>
      </w:r>
      <w:r>
        <w:rPr>
          <w:rFonts w:hint="eastAsia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万元，全部实行项目支出绩效目标管理。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2、“三公”经费：纳入财政预算管理的“三公“经费， 是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费、国外城市间交通费、食宿费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3、本部门（单位）的相关专业名词解释。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YTFkZDRlOTNhMjAyMDcxN2RlZTAwYTk5MzAxOTYifQ=="/>
  </w:docVars>
  <w:rsids>
    <w:rsidRoot w:val="51E90DCA"/>
    <w:rsid w:val="00057C93"/>
    <w:rsid w:val="00072E6C"/>
    <w:rsid w:val="003E1BAB"/>
    <w:rsid w:val="007600D0"/>
    <w:rsid w:val="00893477"/>
    <w:rsid w:val="008A5ECE"/>
    <w:rsid w:val="00A25765"/>
    <w:rsid w:val="00AB278A"/>
    <w:rsid w:val="00E83C61"/>
    <w:rsid w:val="08424180"/>
    <w:rsid w:val="12F74AC2"/>
    <w:rsid w:val="14EB6229"/>
    <w:rsid w:val="18511A82"/>
    <w:rsid w:val="1C377D50"/>
    <w:rsid w:val="2B281D9D"/>
    <w:rsid w:val="397D1B23"/>
    <w:rsid w:val="3E120657"/>
    <w:rsid w:val="428B3BBD"/>
    <w:rsid w:val="43BA25AF"/>
    <w:rsid w:val="51E90DCA"/>
    <w:rsid w:val="55BC2EFC"/>
    <w:rsid w:val="59BF000E"/>
    <w:rsid w:val="5B662FF2"/>
    <w:rsid w:val="5D7B1A6F"/>
    <w:rsid w:val="60A018F6"/>
    <w:rsid w:val="6DE90A0E"/>
    <w:rsid w:val="76DB1031"/>
    <w:rsid w:val="7C122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rPr>
      <w:rFonts w:eastAsia="仿宋_GB2312"/>
      <w:sz w:val="32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rFonts w:ascii="Times New Roman" w:hAnsi="Times New Roman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3465</Words>
  <Characters>3761</Characters>
  <Lines>26</Lines>
  <Paragraphs>7</Paragraphs>
  <TotalTime>46</TotalTime>
  <ScaleCrop>false</ScaleCrop>
  <LinksUpToDate>false</LinksUpToDate>
  <CharactersWithSpaces>3817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2022-05-24T07:36:00Z</dcterms:created>
  <dc:creator>且歌</dc:creator>
  <cp:lastModifiedBy>且歌</cp:lastModifiedBy>
  <cp:lastPrinted>2022-05-26T05:36:00Z</cp:lastPrinted>
  <dcterms:modified xsi:type="dcterms:W3CDTF">2022-05-26T08:15:28Z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D1BF84FC899C447793A082B4237C1CF8</vt:lpwstr>
  </property>
</Properties>
</file>