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150" w:afterAutospacing="0" w:line="45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怀化市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</w:rPr>
        <w:t>鹤城区20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</w:rPr>
        <w:t>预算“三公”经费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安排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color="auto" w:fill="FFFFFF"/>
        </w:rPr>
        <w:t>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b/>
          <w:bCs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一、2023年“三公”经费预算情况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        2023年鹤城区“三公”经费预算共计650.79万元，其中：1、公务接待费144.43万元；2、公务用车运行及维护费506.36万元（其中：公务用车购置费0万元、公务用车运行维护费506.36万元）；3、因公出国出（境）0万元。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对比20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年“三公”经费预算情况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2023年“三公”经费预算比2022年“三公”经费预算减少230.52万元，其中：1、公务接待费减少56.07万元；2、公务用车运行及维护费减少174.45万元。其具体原因为：1、认真贯彻落实中央关于厉行节约的要求，严格规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范公务用车管理，实施公车改革制度，从而减少公务用车购置及运行维护经费预算安排。2、认真贯彻落实中央关于厉行节约的要求，严格控制公务接待标准及次数，从而减少公务接待支出费用。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45B54C64"/>
    <w:rsid w:val="16723150"/>
    <w:rsid w:val="24FD658A"/>
    <w:rsid w:val="45B54C64"/>
    <w:rsid w:val="5C572663"/>
    <w:rsid w:val="62BA62F3"/>
    <w:rsid w:val="62C1750C"/>
    <w:rsid w:val="6A10532B"/>
    <w:rsid w:val="6CB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Autospacing="0" w:after="150" w:afterAutospacing="0" w:line="600" w:lineRule="atLeast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57"/>
      <w:szCs w:val="5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331</Characters>
  <Lines>0</Lines>
  <Paragraphs>0</Paragraphs>
  <TotalTime>0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2023-03-03T01:33:00Z</dcterms:created>
  <dc:creator>预算股 杨司锦</dc:creator>
  <cp:lastModifiedBy>预算股 杨司锦</cp:lastModifiedBy>
  <dcterms:modified xsi:type="dcterms:W3CDTF">2023-04-14T03:26:57Z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F4871624A0C14E9EAB8A2482BB4EC8DF</vt:lpwstr>
  </property>
</Properties>
</file>