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rPr>
          <w:sz w:val="32"/>
          <w:szCs w:val="32"/>
        </w:rPr>
      </w:pPr>
      <w:r>
        <w:rPr>
          <w:rFonts w:hint="eastAsia"/>
          <w:b/>
          <w:sz w:val="44"/>
          <w:szCs w:val="44"/>
          <w:lang w:val="en-US" w:eastAsia="zh-CN"/>
        </w:rPr>
        <w:t>202</w:t>
      </w:r>
      <w:r>
        <w:rPr>
          <w:b/>
          <w:sz w:val="44"/>
          <w:szCs w:val="44"/>
          <w:lang w:val="en-US" w:eastAsia="zh-CN"/>
        </w:rPr>
        <w:t>1</w:t>
      </w:r>
      <w:r>
        <w:rPr>
          <w:rFonts w:hint="eastAsia"/>
          <w:b/>
          <w:sz w:val="44"/>
          <w:szCs w:val="44"/>
          <w:lang w:val="en-US" w:eastAsia="zh-CN"/>
        </w:rPr>
        <w:t>年</w:t>
      </w:r>
      <w:r>
        <w:rPr>
          <w:b/>
          <w:sz w:val="44"/>
          <w:szCs w:val="44"/>
          <w:lang w:val="en-US" w:eastAsia="zh-CN"/>
        </w:rPr>
        <w:t>决算</w:t>
      </w:r>
      <w:bookmarkStart w:id="0" w:name="_GoBack"/>
      <w:bookmarkEnd w:id="0"/>
      <w:r>
        <w:rPr>
          <w:rFonts w:hint="eastAsia"/>
          <w:b/>
          <w:sz w:val="44"/>
          <w:szCs w:val="44"/>
          <w:lang w:val="en-US" w:eastAsia="zh-CN"/>
        </w:rPr>
        <w:t>绩效工作开展情况说明</w:t>
      </w:r>
    </w:p>
    <w:p>
      <w:pPr>
        <w:ind w:firstLineChars="1000" w:firstLine="3200"/>
        <w:rPr>
          <w:rFonts w:ascii="楷体" w:eastAsia="楷体" w:cs="楷体"/>
          <w:sz w:val="32"/>
          <w:szCs w:val="32"/>
        </w:rPr>
      </w:pPr>
      <w:r>
        <w:rPr>
          <w:rFonts w:ascii="楷体" w:eastAsia="楷体" w:cs="楷体" w:hint="eastAsia"/>
          <w:sz w:val="32"/>
          <w:szCs w:val="32"/>
        </w:rPr>
        <w:t>绩效评价股</w:t>
      </w:r>
    </w:p>
    <w:p>
      <w:pPr>
        <w:ind w:firstLineChars="200" w:firstLine="640"/>
        <w:rPr>
          <w:rFonts w:ascii="仿宋" w:eastAsia="仿宋" w:cs="仿宋"/>
          <w:sz w:val="32"/>
          <w:szCs w:val="32"/>
        </w:rPr>
      </w:pPr>
      <w:r>
        <w:rPr>
          <w:rFonts w:ascii="仿宋" w:eastAsia="仿宋" w:cs="仿宋" w:hint="eastAsia"/>
          <w:sz w:val="32"/>
          <w:szCs w:val="32"/>
        </w:rPr>
        <w:t>绩效评价股在局党组的正确领导下，在</w:t>
      </w:r>
      <w:r>
        <w:rPr>
          <w:rFonts w:ascii="仿宋" w:eastAsia="仿宋" w:cs="仿宋" w:hint="eastAsia"/>
          <w:sz w:val="32"/>
          <w:szCs w:val="32"/>
          <w:lang w:val="en-US" w:eastAsia="zh-CN"/>
        </w:rPr>
        <w:t>局</w:t>
      </w:r>
      <w:r>
        <w:rPr>
          <w:rFonts w:ascii="仿宋" w:eastAsia="仿宋" w:cs="仿宋" w:hint="eastAsia"/>
          <w:sz w:val="32"/>
          <w:szCs w:val="32"/>
        </w:rPr>
        <w:t>各业务股室的大力支持和紧密配合下，按照省、市财政部门</w:t>
      </w:r>
      <w:r>
        <w:rPr>
          <w:rFonts w:ascii="仿宋" w:eastAsia="仿宋" w:cs="仿宋" w:hint="eastAsia"/>
          <w:sz w:val="32"/>
          <w:szCs w:val="32"/>
          <w:lang w:eastAsia="zh-CN"/>
        </w:rPr>
        <w:t>工作</w:t>
      </w:r>
      <w:r>
        <w:rPr>
          <w:rFonts w:ascii="仿宋" w:eastAsia="仿宋" w:cs="仿宋" w:hint="eastAsia"/>
          <w:sz w:val="32"/>
          <w:szCs w:val="32"/>
        </w:rPr>
        <w:t>要求，扎实推进我区财政绩效评价管理工作，较好地完成了各项工作任务。现将</w:t>
      </w:r>
      <w:r>
        <w:rPr>
          <w:rFonts w:ascii="仿宋" w:eastAsia="仿宋" w:cs="仿宋" w:hint="eastAsia"/>
          <w:sz w:val="32"/>
          <w:szCs w:val="32"/>
          <w:lang w:val="en-US" w:eastAsia="zh-CN"/>
        </w:rPr>
        <w:t>2021</w:t>
      </w:r>
      <w:r>
        <w:rPr>
          <w:rFonts w:ascii="仿宋" w:eastAsia="仿宋" w:cs="仿宋" w:hint="eastAsia"/>
          <w:sz w:val="32"/>
          <w:szCs w:val="32"/>
        </w:rPr>
        <w:t>年上半年绩效管理工作总结如下：</w:t>
      </w:r>
    </w:p>
    <w:p>
      <w:pPr>
        <w:ind w:left="0" w:firstLineChars="200" w:firstLine="640"/>
        <w:rPr>
          <w:rFonts w:ascii="仿宋" w:eastAsia="仿宋_GB2312" w:cs="仿宋" w:hAnsi="仿宋"/>
          <w:sz w:val="32"/>
          <w:szCs w:val="32"/>
          <w:lang w:val="en-US" w:eastAsia="zh-CN"/>
        </w:rPr>
      </w:pPr>
      <w:r>
        <w:rPr>
          <w:rFonts w:ascii="楷体" w:eastAsia="楷体" w:cs="楷体"/>
          <w:b/>
          <w:bCs/>
          <w:sz w:val="32"/>
          <w:szCs w:val="32"/>
          <w:lang w:val="en-US" w:eastAsia="zh-CN"/>
        </w:rPr>
        <w:t>一</w:t>
      </w:r>
      <w:r>
        <w:rPr>
          <w:rFonts w:ascii="楷体" w:eastAsia="楷体" w:cs="楷体" w:hint="eastAsia"/>
          <w:b/>
          <w:bCs/>
          <w:sz w:val="32"/>
          <w:szCs w:val="32"/>
          <w:lang w:val="en-US" w:eastAsia="zh-CN"/>
        </w:rPr>
        <w:t>.积极建立财审联动机制。</w:t>
      </w:r>
      <w:r>
        <w:rPr>
          <w:rFonts w:ascii="仿宋_GB2312" w:eastAsia="仿宋_GB2312" w:cs="仿宋_GB2312" w:hint="eastAsia"/>
          <w:sz w:val="32"/>
          <w:szCs w:val="32"/>
        </w:rPr>
        <w:t>全面实施预算绩效管理是党的十九大作出的重大改革部署，建立财政与审计协同联动机制，有利于</w:t>
      </w:r>
      <w:r>
        <w:rPr>
          <w:rFonts w:ascii="仿宋_GB2312" w:eastAsia="仿宋_GB2312" w:cs="仿宋_GB2312" w:hint="eastAsia"/>
          <w:sz w:val="32"/>
          <w:szCs w:val="32"/>
          <w:lang w:val="en-US" w:eastAsia="zh-CN"/>
        </w:rPr>
        <w:t>整合</w:t>
      </w:r>
      <w:r>
        <w:rPr>
          <w:rFonts w:ascii="仿宋_GB2312" w:eastAsia="仿宋_GB2312" w:cs="仿宋_GB2312" w:hint="eastAsia"/>
          <w:sz w:val="32"/>
          <w:szCs w:val="32"/>
        </w:rPr>
        <w:t>财政、审计部门的优势，加快构建全方位、全过程、全覆盖预算绩效管理体系；有利于节约资源，提高</w:t>
      </w:r>
      <w:r>
        <w:rPr>
          <w:rFonts w:ascii="仿宋_GB2312" w:eastAsia="仿宋_GB2312" w:cs="仿宋_GB2312" w:hint="eastAsia"/>
          <w:sz w:val="32"/>
          <w:szCs w:val="32"/>
          <w:lang w:val="en-US" w:eastAsia="zh-CN"/>
        </w:rPr>
        <w:t>绩效管理</w:t>
      </w:r>
      <w:r>
        <w:rPr>
          <w:rFonts w:ascii="仿宋_GB2312" w:eastAsia="仿宋_GB2312" w:cs="仿宋_GB2312" w:hint="eastAsia"/>
          <w:sz w:val="32"/>
          <w:szCs w:val="32"/>
        </w:rPr>
        <w:t>工作效率；有利于压实各部门单位责任，规范财政管理、维护财经纪律、提高</w:t>
      </w:r>
      <w:r>
        <w:rPr>
          <w:rFonts w:ascii="仿宋_GB2312" w:eastAsia="仿宋_GB2312" w:cs="仿宋_GB2312" w:hint="eastAsia"/>
          <w:sz w:val="32"/>
          <w:szCs w:val="32"/>
          <w:lang w:val="en-US" w:eastAsia="zh-CN"/>
        </w:rPr>
        <w:t>使用</w:t>
      </w:r>
      <w:r>
        <w:rPr>
          <w:rFonts w:ascii="仿宋_GB2312" w:eastAsia="仿宋_GB2312" w:cs="仿宋_GB2312" w:hint="eastAsia"/>
          <w:sz w:val="32"/>
          <w:szCs w:val="32"/>
        </w:rPr>
        <w:t>财政资金绩效。</w:t>
      </w:r>
      <w:r>
        <w:rPr>
          <w:rFonts w:ascii="仿宋_GB2312" w:eastAsia="仿宋_GB2312" w:cs="仿宋_GB2312" w:hint="eastAsia"/>
          <w:sz w:val="32"/>
          <w:szCs w:val="32"/>
          <w:lang w:val="en-US" w:eastAsia="zh-CN"/>
        </w:rPr>
        <w:t>在局领导的大力支持下，2021年4月，区财政与审计联合出台《关于建立全面实施预算绩效管理工作协同联动制的实施意见》，为我区财审联动机制形成提供政策保障，有效推动了绩效管理工作开展。</w:t>
      </w:r>
    </w:p>
    <w:p>
      <w:pPr>
        <w:ind w:left="0" w:firstLineChars="200" w:firstLine="640"/>
        <w:rPr>
          <w:rFonts w:ascii="仿宋" w:eastAsia="仿宋" w:cs="仿宋"/>
          <w:sz w:val="32"/>
          <w:szCs w:val="32"/>
          <w:lang w:val="en-US" w:eastAsia="zh-CN"/>
        </w:rPr>
      </w:pPr>
      <w:r>
        <w:rPr>
          <w:rFonts w:ascii="楷体" w:eastAsia="楷体" w:cs="楷体"/>
          <w:b/>
          <w:bCs/>
          <w:sz w:val="32"/>
          <w:szCs w:val="32"/>
          <w:lang w:val="en-US" w:eastAsia="zh-CN"/>
        </w:rPr>
        <w:t>二</w:t>
      </w:r>
      <w:r>
        <w:rPr>
          <w:rFonts w:ascii="楷体" w:eastAsia="楷体" w:cs="楷体" w:hint="eastAsia"/>
          <w:b/>
          <w:bCs/>
          <w:sz w:val="32"/>
          <w:szCs w:val="32"/>
          <w:lang w:val="en-US" w:eastAsia="zh-CN"/>
        </w:rPr>
        <w:t>.</w:t>
      </w:r>
      <w:r>
        <w:rPr>
          <w:rStyle w:val="18"/>
          <w:rFonts w:ascii="仿宋" w:eastAsia="仿宋" w:hint="eastAsia"/>
          <w:color w:val="333333"/>
          <w:sz w:val="32"/>
          <w:szCs w:val="32"/>
        </w:rPr>
        <w:t>绩效目标实现“全覆盖”</w:t>
      </w:r>
      <w:r>
        <w:rPr>
          <w:rStyle w:val="18"/>
          <w:rFonts w:ascii="仿宋" w:eastAsia="仿宋"/>
          <w:color w:val="333333"/>
          <w:sz w:val="32"/>
          <w:szCs w:val="32"/>
        </w:rPr>
        <w:t>。</w:t>
      </w:r>
      <w:r>
        <w:rPr>
          <w:rFonts w:ascii="仿宋" w:eastAsia="仿宋" w:cs="仿宋" w:hint="eastAsia"/>
          <w:sz w:val="32"/>
          <w:szCs w:val="32"/>
          <w:lang w:val="en-US" w:eastAsia="zh-CN"/>
        </w:rPr>
        <w:t>为</w:t>
      </w:r>
      <w:r>
        <w:rPr>
          <w:rFonts w:ascii="仿宋" w:eastAsia="仿宋" w:cs="仿宋" w:hint="eastAsia"/>
          <w:sz w:val="32"/>
          <w:szCs w:val="32"/>
        </w:rPr>
        <w:t>加强20</w:t>
      </w:r>
      <w:r>
        <w:rPr>
          <w:rFonts w:ascii="仿宋" w:eastAsia="仿宋" w:cs="仿宋" w:hint="eastAsia"/>
          <w:sz w:val="32"/>
          <w:szCs w:val="32"/>
          <w:lang w:val="en-US" w:eastAsia="zh-CN"/>
        </w:rPr>
        <w:t>21</w:t>
      </w:r>
      <w:r>
        <w:rPr>
          <w:rFonts w:ascii="仿宋" w:eastAsia="仿宋" w:cs="仿宋" w:hint="eastAsia"/>
          <w:sz w:val="32"/>
          <w:szCs w:val="32"/>
        </w:rPr>
        <w:t>年</w:t>
      </w:r>
      <w:r>
        <w:rPr>
          <w:rFonts w:ascii="仿宋" w:eastAsia="仿宋" w:cs="仿宋" w:hint="eastAsia"/>
          <w:sz w:val="32"/>
          <w:szCs w:val="32"/>
          <w:lang w:val="en-US" w:eastAsia="zh-CN"/>
        </w:rPr>
        <w:t>度</w:t>
      </w:r>
      <w:r>
        <w:rPr>
          <w:rFonts w:ascii="仿宋" w:eastAsia="仿宋" w:cs="仿宋" w:hint="eastAsia"/>
          <w:sz w:val="32"/>
          <w:szCs w:val="32"/>
        </w:rPr>
        <w:t>预算绩效目标申报工作的管理力度，绩效目标申报实现了全覆盖。部门预算项目绩效目标覆盖一般公共预算、政府性基金预算、国有资本经营预算及社会保险基金预算安排的所有项目支出，新增重大政策和项目</w:t>
      </w:r>
      <w:r>
        <w:rPr>
          <w:rFonts w:ascii="仿宋" w:eastAsia="仿宋" w:cs="仿宋" w:hint="eastAsia"/>
          <w:sz w:val="32"/>
          <w:szCs w:val="32"/>
          <w:lang w:val="en-US" w:eastAsia="zh-CN"/>
        </w:rPr>
        <w:t>须</w:t>
      </w:r>
      <w:r>
        <w:rPr>
          <w:rFonts w:ascii="仿宋" w:eastAsia="仿宋" w:cs="仿宋" w:hint="eastAsia"/>
          <w:sz w:val="32"/>
          <w:szCs w:val="32"/>
        </w:rPr>
        <w:t>开展事前绩效评估。部门（单位）整体支出绩效目标覆盖所有纳入部门预算管理的预算部门及其所属预算单位。全区编制和报送专项绩效目标400余个，</w:t>
      </w:r>
      <w:r>
        <w:rPr>
          <w:rFonts w:ascii="仿宋" w:eastAsia="仿宋" w:cs="仿宋" w:hint="eastAsia"/>
          <w:sz w:val="32"/>
          <w:szCs w:val="32"/>
          <w:lang w:val="en-US" w:eastAsia="zh-CN"/>
        </w:rPr>
        <w:t>涉及资金17</w:t>
      </w:r>
      <w:r>
        <w:rPr>
          <w:rFonts w:ascii="仿宋" w:eastAsia="仿宋" w:cs="仿宋" w:hint="eastAsia"/>
          <w:sz w:val="32"/>
          <w:szCs w:val="32"/>
        </w:rPr>
        <w:t>个亿，12</w:t>
      </w:r>
      <w:r>
        <w:rPr>
          <w:rFonts w:ascii="仿宋" w:eastAsia="仿宋" w:cs="仿宋" w:hint="eastAsia"/>
          <w:sz w:val="32"/>
          <w:szCs w:val="32"/>
          <w:lang w:val="en-US" w:eastAsia="zh-CN"/>
        </w:rPr>
        <w:t>8</w:t>
      </w:r>
      <w:r>
        <w:rPr>
          <w:rFonts w:ascii="仿宋" w:eastAsia="仿宋" w:cs="仿宋" w:hint="eastAsia"/>
          <w:sz w:val="32"/>
          <w:szCs w:val="32"/>
        </w:rPr>
        <w:t>个预算单位编报了部门整体支出绩效目标表，并在政府网公开</w:t>
      </w:r>
      <w:r>
        <w:rPr>
          <w:rFonts w:ascii="仿宋" w:eastAsia="仿宋" w:cs="仿宋" w:hint="eastAsia"/>
          <w:sz w:val="32"/>
          <w:szCs w:val="32"/>
          <w:lang w:eastAsia="zh-CN"/>
        </w:rPr>
        <w:t>，</w:t>
      </w:r>
      <w:r>
        <w:rPr>
          <w:rFonts w:ascii="仿宋" w:eastAsia="仿宋" w:cs="仿宋" w:hint="eastAsia"/>
          <w:sz w:val="32"/>
          <w:szCs w:val="32"/>
          <w:lang w:val="en-US" w:eastAsia="zh-CN"/>
        </w:rPr>
        <w:t>预算绩效目标管理按时序进度有序推进。</w:t>
      </w:r>
    </w:p>
    <w:p>
      <w:pPr>
        <w:ind w:firstLineChars="200" w:firstLine="640"/>
        <w:rPr>
          <w:rFonts w:ascii="仿宋" w:eastAsia="仿宋" w:cs="仿宋" w:hint="eastAsia"/>
          <w:sz w:val="32"/>
          <w:szCs w:val="32"/>
        </w:rPr>
      </w:pPr>
      <w:r>
        <w:rPr>
          <w:rFonts w:ascii="楷体" w:eastAsia="楷体" w:cs="楷体"/>
          <w:b/>
          <w:bCs/>
          <w:sz w:val="32"/>
          <w:szCs w:val="32"/>
          <w:lang w:val="en-US" w:eastAsia="zh-CN"/>
        </w:rPr>
        <w:t>三</w:t>
      </w:r>
      <w:r>
        <w:rPr>
          <w:rFonts w:ascii="楷体" w:eastAsia="楷体" w:cs="楷体" w:hint="eastAsia"/>
          <w:b/>
          <w:bCs/>
          <w:sz w:val="32"/>
          <w:szCs w:val="32"/>
          <w:lang w:val="en-US" w:eastAsia="zh-CN"/>
        </w:rPr>
        <w:t>.</w:t>
      </w:r>
      <w:r>
        <w:rPr>
          <w:rStyle w:val="18"/>
          <w:rFonts w:ascii="仿宋" w:eastAsia="仿宋" w:hint="eastAsia"/>
          <w:color w:val="333333"/>
          <w:sz w:val="32"/>
          <w:szCs w:val="32"/>
        </w:rPr>
        <w:t>绩效监控实现“常态化”。</w:t>
      </w:r>
      <w:r>
        <w:rPr>
          <w:rFonts w:ascii="仿宋" w:eastAsia="仿宋" w:cs="仿宋" w:hint="eastAsia"/>
          <w:sz w:val="32"/>
          <w:szCs w:val="32"/>
          <w:lang w:val="en-US" w:eastAsia="zh-CN"/>
        </w:rPr>
        <w:t>为更好开展绩效监控管工作，</w:t>
      </w:r>
      <w:r>
        <w:rPr>
          <w:rFonts w:ascii="仿宋" w:eastAsia="仿宋" w:cs="仿宋" w:hint="eastAsia"/>
          <w:sz w:val="32"/>
          <w:szCs w:val="32"/>
        </w:rPr>
        <w:t>20</w:t>
      </w:r>
      <w:r>
        <w:rPr>
          <w:rFonts w:ascii="仿宋" w:eastAsia="仿宋" w:cs="仿宋" w:hint="eastAsia"/>
          <w:sz w:val="32"/>
          <w:szCs w:val="32"/>
          <w:lang w:val="en-US" w:eastAsia="zh-CN"/>
        </w:rPr>
        <w:t>21</w:t>
      </w:r>
      <w:r>
        <w:rPr>
          <w:rFonts w:ascii="仿宋" w:eastAsia="仿宋" w:cs="仿宋" w:hint="eastAsia"/>
          <w:sz w:val="32"/>
          <w:szCs w:val="32"/>
        </w:rPr>
        <w:t>年5月下发了《怀化市鹤城区财政局关于开展20</w:t>
      </w:r>
      <w:r>
        <w:rPr>
          <w:rFonts w:ascii="仿宋" w:eastAsia="仿宋" w:cs="仿宋" w:hint="eastAsia"/>
          <w:sz w:val="32"/>
          <w:szCs w:val="32"/>
          <w:lang w:val="en-US" w:eastAsia="zh-CN"/>
        </w:rPr>
        <w:t>21</w:t>
      </w:r>
      <w:r>
        <w:rPr>
          <w:rFonts w:ascii="仿宋" w:eastAsia="仿宋" w:cs="仿宋" w:hint="eastAsia"/>
          <w:sz w:val="32"/>
          <w:szCs w:val="32"/>
        </w:rPr>
        <w:t>年度财政支出预算绩效运行跟踪监控工作的通知》，将纳入</w:t>
      </w:r>
      <w:r>
        <w:rPr>
          <w:rFonts w:ascii="仿宋" w:eastAsia="仿宋" w:cs="仿宋" w:hint="eastAsia"/>
          <w:sz w:val="32"/>
          <w:szCs w:val="32"/>
          <w:lang w:val="en-US" w:eastAsia="zh-CN"/>
        </w:rPr>
        <w:t>2021</w:t>
      </w:r>
      <w:r>
        <w:rPr>
          <w:rFonts w:ascii="仿宋" w:eastAsia="仿宋" w:cs="仿宋" w:hint="eastAsia"/>
          <w:sz w:val="32"/>
          <w:szCs w:val="32"/>
        </w:rPr>
        <w:t>年度预算绩效目标管理的所有财政性支出</w:t>
      </w:r>
      <w:r>
        <w:rPr>
          <w:rFonts w:ascii="仿宋" w:eastAsia="仿宋" w:cs="仿宋" w:hint="eastAsia"/>
          <w:sz w:val="32"/>
          <w:szCs w:val="32"/>
          <w:lang w:val="en-US" w:eastAsia="zh-CN"/>
        </w:rPr>
        <w:t>列入</w:t>
      </w:r>
      <w:r>
        <w:rPr>
          <w:rFonts w:ascii="仿宋" w:eastAsia="仿宋" w:cs="仿宋" w:hint="eastAsia"/>
          <w:sz w:val="32"/>
          <w:szCs w:val="32"/>
        </w:rPr>
        <w:t>跟踪监控范围。重点对</w:t>
      </w:r>
      <w:r>
        <w:rPr>
          <w:rFonts w:ascii="仿宋" w:eastAsia="仿宋" w:cs="仿宋" w:hint="eastAsia"/>
          <w:sz w:val="32"/>
          <w:szCs w:val="32"/>
          <w:lang w:eastAsia="zh-CN"/>
        </w:rPr>
        <w:t>公路水毁工程、国省干线公路养护、农村公路养护、凉亭坳贺家田村集镇道路巩固提升工程</w:t>
      </w:r>
      <w:r>
        <w:rPr>
          <w:rFonts w:ascii="仿宋" w:eastAsia="仿宋" w:cs="仿宋" w:hint="eastAsia"/>
          <w:sz w:val="32"/>
          <w:szCs w:val="32"/>
        </w:rPr>
        <w:t>等项目进行了绩效运行跟踪管理。</w:t>
      </w:r>
    </w:p>
    <w:p>
      <w:pPr>
        <w:ind w:firstLineChars="200" w:firstLine="640"/>
        <w:rPr>
          <w:rFonts w:ascii="仿宋" w:eastAsia="仿宋" w:hint="eastAsia"/>
          <w:color w:val="333333"/>
          <w:sz w:val="32"/>
          <w:szCs w:val="32"/>
        </w:rPr>
      </w:pPr>
      <w:r>
        <w:rPr>
          <w:rFonts w:ascii="楷体" w:eastAsia="楷体" w:cs="楷体"/>
          <w:b/>
          <w:bCs/>
          <w:sz w:val="32"/>
          <w:szCs w:val="32"/>
          <w:lang w:val="en-US" w:eastAsia="zh-CN"/>
        </w:rPr>
        <w:t>四</w:t>
      </w:r>
      <w:r>
        <w:rPr>
          <w:rFonts w:ascii="楷体" w:eastAsia="楷体" w:cs="楷体" w:hint="eastAsia"/>
          <w:b/>
          <w:bCs/>
          <w:sz w:val="32"/>
          <w:szCs w:val="32"/>
          <w:lang w:val="en-US" w:eastAsia="zh-CN"/>
        </w:rPr>
        <w:t>.</w:t>
      </w:r>
      <w:r>
        <w:rPr>
          <w:rFonts w:ascii="仿宋" w:eastAsia="仿宋" w:hint="eastAsia"/>
          <w:b/>
          <w:color w:val="333333"/>
          <w:sz w:val="32"/>
          <w:szCs w:val="32"/>
        </w:rPr>
        <w:t>绩效评价实现“全过程”。</w:t>
      </w:r>
      <w:r>
        <w:rPr>
          <w:rFonts w:ascii="仿宋" w:eastAsia="仿宋" w:hint="eastAsia"/>
          <w:color w:val="333333"/>
          <w:sz w:val="32"/>
          <w:szCs w:val="32"/>
          <w:lang w:val="en-US" w:eastAsia="zh-CN"/>
        </w:rPr>
        <w:t>按照党中央、国务院和省委、省政府关于全面实施预算绩效管理的要求，布置好区直单位2020年度预算绩效支出自评工作，并根据各单位提交的自评考核材料进行审查考核。全区119个预算单位编制和报送了部门整体支出绩效和项目支出绩效自评报告（因机构改革，减少了预算单位），并在政府网公开。</w:t>
      </w:r>
      <w:r>
        <w:rPr>
          <w:rFonts w:ascii="仿宋" w:eastAsia="仿宋"/>
          <w:color w:val="333333"/>
          <w:sz w:val="32"/>
          <w:szCs w:val="32"/>
          <w:lang w:val="en-US" w:eastAsia="zh-CN"/>
        </w:rPr>
        <w:t>在自评的基础上，选取失业保险金、公路水毁修复工程等5个重大政策和重大项目，</w:t>
      </w:r>
      <w:r>
        <w:rPr>
          <w:rFonts w:ascii="仿宋" w:eastAsia="仿宋" w:cs="仿宋" w:hint="eastAsia"/>
          <w:color w:val="333333"/>
          <w:sz w:val="32"/>
          <w:szCs w:val="32"/>
        </w:rPr>
        <w:t>委托湖南兴沁会计师事务所开展重点绩效评价</w:t>
      </w:r>
      <w:r>
        <w:rPr>
          <w:rFonts w:ascii="仿宋" w:eastAsia="仿宋" w:cs="仿宋"/>
          <w:color w:val="333333"/>
          <w:sz w:val="32"/>
          <w:szCs w:val="32"/>
        </w:rPr>
        <w:t>，并将评价结果在政府网上公开。</w:t>
      </w:r>
    </w:p>
    <w:p>
      <w:pPr>
        <w:ind w:firstLineChars="200" w:firstLine="640"/>
        <w:rPr>
          <w:rFonts w:ascii="仿宋" w:eastAsia="仿宋" w:cs="楷体" w:hint="eastAsia"/>
          <w:b/>
          <w:bCs/>
          <w:color w:val="333333"/>
          <w:sz w:val="32"/>
          <w:szCs w:val="32"/>
        </w:rPr>
      </w:pPr>
      <w:r>
        <w:rPr>
          <w:rFonts w:ascii="仿宋" w:eastAsia="仿宋"/>
          <w:color w:val="333333"/>
          <w:sz w:val="32"/>
          <w:szCs w:val="32"/>
          <w:lang w:val="en-US" w:eastAsia="zh-CN"/>
        </w:rPr>
        <w:t>五、</w:t>
      </w:r>
      <w:r>
        <w:rPr>
          <w:rFonts w:ascii="楷体" w:eastAsia="楷体" w:cs="楷体" w:hint="eastAsia"/>
          <w:b/>
          <w:bCs/>
          <w:sz w:val="32"/>
          <w:szCs w:val="32"/>
          <w:lang w:val="en-US" w:eastAsia="zh-CN"/>
        </w:rPr>
        <w:t>深入开展预算绩效宣传。</w:t>
      </w:r>
      <w:r>
        <w:rPr>
          <w:rFonts w:ascii="仿宋" w:eastAsia="仿宋" w:hint="eastAsia"/>
          <w:color w:val="333333"/>
          <w:sz w:val="32"/>
          <w:szCs w:val="32"/>
        </w:rPr>
        <w:t>加强理论研究，提高思想认识，</w:t>
      </w:r>
      <w:r>
        <w:rPr>
          <w:rFonts w:ascii="仿宋" w:eastAsia="仿宋" w:hint="eastAsia"/>
          <w:color w:val="333333"/>
          <w:sz w:val="32"/>
          <w:szCs w:val="32"/>
          <w:lang w:val="en-US" w:eastAsia="zh-CN"/>
        </w:rPr>
        <w:t>加强</w:t>
      </w:r>
      <w:r>
        <w:rPr>
          <w:rFonts w:ascii="仿宋" w:eastAsia="仿宋" w:hint="eastAsia"/>
          <w:color w:val="333333"/>
          <w:sz w:val="32"/>
          <w:szCs w:val="32"/>
        </w:rPr>
        <w:t>舆认宣传，</w:t>
      </w:r>
      <w:r>
        <w:rPr>
          <w:rFonts w:ascii="仿宋" w:eastAsia="仿宋" w:hint="eastAsia"/>
          <w:color w:val="333333"/>
          <w:sz w:val="32"/>
          <w:szCs w:val="32"/>
          <w:lang w:val="en-US" w:eastAsia="zh-CN"/>
        </w:rPr>
        <w:t>努力营造全区全面执行预算绩效管理的舆论氛围。上半年向区属各单位印发</w:t>
      </w:r>
      <w:r>
        <w:rPr>
          <w:rFonts w:ascii="仿宋" w:eastAsia="仿宋" w:hint="eastAsia"/>
          <w:color w:val="333333"/>
          <w:sz w:val="32"/>
          <w:szCs w:val="32"/>
        </w:rPr>
        <w:t>相关文件</w:t>
      </w:r>
      <w:r>
        <w:rPr>
          <w:rFonts w:ascii="仿宋" w:eastAsia="仿宋" w:hint="eastAsia"/>
          <w:color w:val="333333"/>
          <w:sz w:val="32"/>
          <w:szCs w:val="32"/>
          <w:lang w:val="en-US" w:eastAsia="zh-CN"/>
        </w:rPr>
        <w:t>4个共300</w:t>
      </w:r>
      <w:r>
        <w:rPr>
          <w:rFonts w:ascii="仿宋" w:eastAsia="仿宋" w:hint="eastAsia"/>
          <w:color w:val="333333"/>
          <w:sz w:val="32"/>
          <w:szCs w:val="32"/>
        </w:rPr>
        <w:t>余份</w:t>
      </w:r>
      <w:r>
        <w:rPr>
          <w:rFonts w:ascii="仿宋" w:eastAsia="仿宋" w:hint="eastAsia"/>
          <w:color w:val="333333"/>
          <w:sz w:val="32"/>
          <w:szCs w:val="32"/>
          <w:lang w:eastAsia="zh-CN"/>
        </w:rPr>
        <w:t>；</w:t>
      </w:r>
      <w:r>
        <w:rPr>
          <w:rFonts w:ascii="仿宋" w:eastAsia="仿宋" w:hint="eastAsia"/>
          <w:color w:val="333333"/>
          <w:sz w:val="32"/>
          <w:szCs w:val="32"/>
          <w:lang w:val="en-US" w:eastAsia="zh-CN"/>
        </w:rPr>
        <w:t>在怀化日报、市级网格发表消息、新闻6条</w:t>
      </w:r>
      <w:r>
        <w:rPr>
          <w:rFonts w:ascii="仿宋" w:eastAsia="仿宋" w:hint="eastAsia"/>
          <w:color w:val="333333"/>
          <w:sz w:val="32"/>
          <w:szCs w:val="32"/>
          <w:lang w:eastAsia="zh-CN"/>
        </w:rPr>
        <w:t>。</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楷体">
    <w:panose1 w:val="02010609060101010101"/>
    <w:charset w:val="86"/>
    <w:family w:val="modern"/>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7A"/>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57950" cy="13956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7950" cy="139560"/>
                      </a:xfrm>
                      <a:prstGeom prst="rect"/>
                      <a:noFill/>
                      <a:ln w="6350" cmpd="sng" cap="flat">
                        <a:noFill/>
                        <a:prstDash val="solid"/>
                        <a:round/>
                      </a:ln>
                    </wps:spPr>
                    <wps:txbx id="2">
                      <w:txbxContent>
                        <w:p>
                          <w:pPr>
                            <w:pStyle w:val="16"/>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4.562999pt;height:10.988999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next w:val="15"/>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rPr>
  </w:style>
  <w:style w:type="paragraph" w:styleId="2">
    <w:name w:val="heading 2"/>
    <w:qFormat/>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toa heading"/>
    <w:qFormat/>
    <w:basedOn w:val="0"/>
    <w:next w:val="0"/>
    <w:rPr>
      <w:rFonts w:ascii="Arial" w:hAnsi="Arial"/>
      <w:sz w:val="24"/>
    </w:rPr>
  </w:style>
  <w:style w:type="paragraph" w:styleId="16">
    <w:name w:val="footer"/>
    <w:qFormat/>
    <w:basedOn w:val="0"/>
    <w:pPr>
      <w:tabs>
        <w:tab w:val="center" w:pos="4153"/>
        <w:tab w:val="right" w:pos="8306"/>
      </w:tabs>
      <w:snapToGrid w:val="0"/>
      <w:jc w:val="left"/>
    </w:pPr>
    <w:rPr>
      <w:sz w:val="18"/>
    </w:rPr>
  </w:style>
  <w:style w:type="paragraph" w:styleId="17">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character" w:styleId="18">
    <w:name w:val="Strong"/>
    <w:qFormat/>
    <w:rPr>
      <w:b/>
      <w:bCs/>
    </w:rPr>
  </w:style>
  <w:style w:type="paragraph" w:customStyle="1" w:styleId="19">
    <w:name w:val="List Paragraph"/>
    <w:qFormat/>
    <w:basedOn w:val="0"/>
    <w:pPr>
      <w:ind w:firstLineChars="200" w:firstLine="200"/>
    </w:pPr>
  </w:style>
  <w:style w:type="paragraph" w:styleId="20">
    <w:name w:val="Normal (Web)"/>
    <w:qFormat/>
    <w:next w:val="15"/>
    <w:pPr>
      <w:widowControl/>
      <w:spacing w:before="100" w:beforeAutospacing="1" w:after="100" w:afterAutospacing="1"/>
      <w:jc w:val="left"/>
    </w:pPr>
    <w:rPr>
      <w:rFonts w:asci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35</TotalTime>
  <Application>Yozo_Office27021597764231180</Application>
  <Pages>3</Pages>
  <Words>0</Words>
  <Characters>828</Characters>
  <Lines>0</Lines>
  <Paragraphs>8</Paragraphs>
  <CharactersWithSpaces>1105</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超人</dc:creator>
  <cp:lastModifiedBy>Administrator</cp:lastModifiedBy>
  <cp:revision>2</cp:revision>
  <cp:lastPrinted>2018-11-27T08:34:00Z</cp:lastPrinted>
  <dcterms:created xsi:type="dcterms:W3CDTF">2021-04-27T03:49:00Z</dcterms:created>
  <dcterms:modified xsi:type="dcterms:W3CDTF">2022-09-01T07:19:10Z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2052-11.1.0.11045</vt:lpwstr>
  </property>
  <property fmtid="{D5CDD505-2E9C-101B-9397-08002B2CF9AE}" pid="3" name="ICV">
    <vt:lpwstr>41DE3BEDF5F9493FB189C89678E0D0E1</vt:lpwstr>
  </property>
</Properties>
</file>