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_GBK"/>
          <w:bCs/>
          <w:kern w:val="0"/>
          <w:sz w:val="44"/>
          <w:szCs w:val="44"/>
        </w:rPr>
      </w:pPr>
      <w:r>
        <w:rPr>
          <w:rFonts w:hint="eastAsia" w:eastAsia="方正小标宋_GBK"/>
          <w:bCs/>
          <w:kern w:val="0"/>
          <w:sz w:val="36"/>
          <w:szCs w:val="36"/>
          <w:lang w:val="en-US" w:eastAsia="zh-CN"/>
        </w:rPr>
        <w:t>2019</w:t>
      </w:r>
      <w:r>
        <w:rPr>
          <w:rFonts w:eastAsia="方正小标宋_GBK"/>
          <w:bCs/>
          <w:kern w:val="0"/>
          <w:sz w:val="44"/>
          <w:szCs w:val="44"/>
        </w:rPr>
        <w:t>年</w:t>
      </w:r>
      <w:r>
        <w:rPr>
          <w:rFonts w:hint="eastAsia" w:eastAsia="方正小标宋_GBK"/>
          <w:bCs/>
          <w:kern w:val="0"/>
          <w:sz w:val="44"/>
          <w:szCs w:val="44"/>
        </w:rPr>
        <w:t>政府</w:t>
      </w:r>
      <w:r>
        <w:rPr>
          <w:rFonts w:eastAsia="方正小标宋_GBK"/>
          <w:bCs/>
          <w:kern w:val="0"/>
          <w:sz w:val="44"/>
          <w:szCs w:val="44"/>
        </w:rPr>
        <w:t>预算</w:t>
      </w:r>
      <w:r>
        <w:rPr>
          <w:rFonts w:hint="eastAsia" w:eastAsia="方正小标宋_GBK"/>
          <w:bCs/>
          <w:kern w:val="0"/>
          <w:sz w:val="44"/>
          <w:szCs w:val="44"/>
        </w:rPr>
        <w:t>公开</w:t>
      </w:r>
    </w:p>
    <w:p>
      <w:pPr>
        <w:widowControl/>
        <w:spacing w:line="600" w:lineRule="exact"/>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napToGrid w:val="0"/>
        <w:spacing w:line="560" w:lineRule="exact"/>
        <w:ind w:firstLine="643" w:firstLineChars="200"/>
        <w:jc w:val="left"/>
        <w:rPr>
          <w:rFonts w:eastAsia="方正小标宋_GBK"/>
          <w:bCs/>
          <w:kern w:val="0"/>
          <w:sz w:val="32"/>
          <w:szCs w:val="32"/>
        </w:rPr>
      </w:pPr>
      <w:r>
        <w:rPr>
          <w:rFonts w:eastAsia="仿宋_GB2312"/>
          <w:b/>
          <w:bCs/>
          <w:kern w:val="0"/>
          <w:sz w:val="32"/>
          <w:szCs w:val="32"/>
        </w:rPr>
        <w:t>第一部分</w:t>
      </w:r>
      <w:r>
        <w:rPr>
          <w:rFonts w:hint="eastAsia" w:eastAsia="仿宋_GB2312"/>
          <w:b/>
          <w:bCs/>
          <w:kern w:val="0"/>
          <w:sz w:val="32"/>
          <w:szCs w:val="32"/>
        </w:rPr>
        <w:t xml:space="preserve"> 关于怀化市鹤城区2018年财政预算执行情况和2019年财政预算草案的报告</w:t>
      </w:r>
    </w:p>
    <w:p>
      <w:pPr>
        <w:widowControl/>
        <w:spacing w:line="600" w:lineRule="exact"/>
        <w:ind w:firstLine="643" w:firstLineChars="200"/>
        <w:jc w:val="left"/>
        <w:rPr>
          <w:rFonts w:hint="eastAsia" w:eastAsia="仿宋_GB2312"/>
          <w:b/>
          <w:bCs/>
          <w:kern w:val="0"/>
          <w:sz w:val="32"/>
          <w:szCs w:val="32"/>
          <w:lang w:eastAsia="zh-CN"/>
        </w:rPr>
      </w:pPr>
      <w:r>
        <w:rPr>
          <w:rFonts w:eastAsia="仿宋_GB2312"/>
          <w:b/>
          <w:bCs/>
          <w:kern w:val="0"/>
          <w:sz w:val="32"/>
          <w:szCs w:val="32"/>
        </w:rPr>
        <w:t>第二部分</w:t>
      </w:r>
      <w:r>
        <w:rPr>
          <w:rFonts w:hint="eastAsia" w:eastAsia="仿宋_GB2312"/>
          <w:b/>
          <w:bCs/>
          <w:kern w:val="0"/>
          <w:sz w:val="32"/>
          <w:szCs w:val="32"/>
        </w:rPr>
        <w:t xml:space="preserve"> </w:t>
      </w:r>
      <w:r>
        <w:rPr>
          <w:rFonts w:hint="eastAsia" w:eastAsia="仿宋_GB2312"/>
          <w:b/>
          <w:bCs/>
          <w:kern w:val="0"/>
          <w:sz w:val="32"/>
          <w:szCs w:val="32"/>
          <w:lang w:eastAsia="zh-CN"/>
        </w:rPr>
        <w:t>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1、一般公共预算收入预算表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2、一般公共预算支出预算表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3、一般公共预算本级支出预算表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4、一般公共预算基本支出预算表</w:t>
      </w:r>
    </w:p>
    <w:p>
      <w:pPr>
        <w:widowControl/>
        <w:spacing w:line="600" w:lineRule="exact"/>
        <w:ind w:right="-340" w:rightChars="-162" w:firstLine="640" w:firstLineChars="200"/>
        <w:jc w:val="left"/>
        <w:rPr>
          <w:rFonts w:hint="eastAsia" w:eastAsia="仿宋_GB2312"/>
          <w:sz w:val="32"/>
          <w:szCs w:val="32"/>
        </w:rPr>
      </w:pPr>
      <w:r>
        <w:rPr>
          <w:rFonts w:hint="eastAsia" w:eastAsia="仿宋_GB2312"/>
          <w:sz w:val="32"/>
          <w:szCs w:val="32"/>
        </w:rPr>
        <w:t>5、一般公共预算对下税收返还和转移支付预算分项目表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6、一般公共预算对下税收返还和转移支付预算分地区表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7、政府性基金收入预算表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8、政府性基金支出预算表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9、政府性基金本级支出预算表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10、政府性基金转移支付预算分项目表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11、政府性基金转移支付预算分地区表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12、国有资本经营收入预算表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13、国有资本经营支出预算表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14、本级国有资本经营支出预算表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15、国有资本经营转移支出预算表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6</w:t>
      </w:r>
      <w:r>
        <w:rPr>
          <w:rFonts w:hint="eastAsia" w:eastAsia="仿宋_GB2312"/>
          <w:sz w:val="32"/>
          <w:szCs w:val="32"/>
        </w:rPr>
        <w:t>、社会保险基金收入预算表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7</w:t>
      </w:r>
      <w:r>
        <w:rPr>
          <w:rFonts w:hint="eastAsia" w:eastAsia="仿宋_GB2312"/>
          <w:sz w:val="32"/>
          <w:szCs w:val="32"/>
        </w:rPr>
        <w:t>、社会保险基金支出预算表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8</w:t>
      </w:r>
      <w:r>
        <w:rPr>
          <w:rFonts w:hint="eastAsia" w:eastAsia="仿宋_GB2312"/>
          <w:sz w:val="32"/>
          <w:szCs w:val="32"/>
        </w:rPr>
        <w:t>、地方政府一般债务限额和余额情况表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9</w:t>
      </w:r>
      <w:r>
        <w:rPr>
          <w:rFonts w:hint="eastAsia" w:eastAsia="仿宋_GB2312"/>
          <w:sz w:val="32"/>
          <w:szCs w:val="32"/>
        </w:rPr>
        <w:t>、地方政府</w:t>
      </w:r>
      <w:bookmarkStart w:id="0" w:name="_GoBack"/>
      <w:bookmarkEnd w:id="0"/>
      <w:r>
        <w:rPr>
          <w:rFonts w:hint="eastAsia" w:eastAsia="仿宋_GB2312"/>
          <w:sz w:val="32"/>
          <w:szCs w:val="32"/>
        </w:rPr>
        <w:t>专项债务限额和余额情况表</w:t>
      </w:r>
    </w:p>
    <w:p>
      <w:pPr>
        <w:widowControl/>
        <w:spacing w:line="600" w:lineRule="exact"/>
        <w:ind w:firstLine="643" w:firstLineChars="200"/>
        <w:jc w:val="left"/>
        <w:rPr>
          <w:rFonts w:hint="eastAsia" w:eastAsia="仿宋_GB2312"/>
          <w:b/>
          <w:bCs/>
          <w:kern w:val="0"/>
          <w:sz w:val="32"/>
          <w:szCs w:val="32"/>
        </w:rPr>
      </w:pPr>
      <w:r>
        <w:rPr>
          <w:rFonts w:eastAsia="仿宋_GB2312"/>
          <w:b/>
          <w:bCs/>
          <w:kern w:val="0"/>
          <w:sz w:val="32"/>
          <w:szCs w:val="32"/>
        </w:rPr>
        <w:t>第</w:t>
      </w:r>
      <w:r>
        <w:rPr>
          <w:rFonts w:hint="eastAsia" w:eastAsia="仿宋_GB2312"/>
          <w:b/>
          <w:bCs/>
          <w:kern w:val="0"/>
          <w:sz w:val="32"/>
          <w:szCs w:val="32"/>
        </w:rPr>
        <w:t>三</w:t>
      </w:r>
      <w:r>
        <w:rPr>
          <w:rFonts w:eastAsia="仿宋_GB2312"/>
          <w:b/>
          <w:bCs/>
          <w:kern w:val="0"/>
          <w:sz w:val="32"/>
          <w:szCs w:val="32"/>
        </w:rPr>
        <w:t xml:space="preserve">部分 </w:t>
      </w:r>
      <w:r>
        <w:rPr>
          <w:rFonts w:hint="eastAsia" w:eastAsia="仿宋_GB2312"/>
          <w:b/>
          <w:bCs/>
          <w:kern w:val="0"/>
          <w:sz w:val="32"/>
          <w:szCs w:val="32"/>
        </w:rPr>
        <w:t>相关说明</w:t>
      </w:r>
    </w:p>
    <w:p>
      <w:pPr>
        <w:widowControl/>
        <w:spacing w:line="600" w:lineRule="exact"/>
        <w:ind w:firstLine="627" w:firstLineChars="196"/>
        <w:jc w:val="left"/>
        <w:rPr>
          <w:rFonts w:eastAsia="黑体"/>
          <w:bCs/>
          <w:kern w:val="0"/>
          <w:sz w:val="32"/>
          <w:szCs w:val="32"/>
        </w:rPr>
      </w:pPr>
      <w:r>
        <w:rPr>
          <w:rFonts w:eastAsia="黑体"/>
          <w:bCs/>
          <w:kern w:val="0"/>
          <w:sz w:val="32"/>
          <w:szCs w:val="32"/>
        </w:rPr>
        <w:t>一、税收返还和转移支付情况</w:t>
      </w:r>
    </w:p>
    <w:p>
      <w:pPr>
        <w:spacing w:line="580" w:lineRule="exact"/>
        <w:ind w:firstLine="640" w:firstLineChars="200"/>
        <w:rPr>
          <w:rFonts w:eastAsia="黑体"/>
          <w:color w:val="000000"/>
          <w:sz w:val="32"/>
          <w:szCs w:val="32"/>
        </w:rPr>
      </w:pPr>
      <w:r>
        <w:rPr>
          <w:rFonts w:eastAsia="黑体"/>
          <w:color w:val="000000"/>
          <w:sz w:val="32"/>
          <w:szCs w:val="32"/>
        </w:rPr>
        <w:t>二、举借政府债务情况</w:t>
      </w:r>
    </w:p>
    <w:p>
      <w:pPr>
        <w:spacing w:line="580" w:lineRule="exact"/>
        <w:ind w:firstLine="640" w:firstLineChars="200"/>
        <w:rPr>
          <w:rFonts w:hint="eastAsia" w:eastAsia="黑体"/>
          <w:color w:val="000000"/>
          <w:sz w:val="32"/>
          <w:szCs w:val="32"/>
          <w:lang w:eastAsia="zh-CN"/>
        </w:rPr>
      </w:pPr>
      <w:r>
        <w:rPr>
          <w:rFonts w:hint="eastAsia" w:eastAsia="黑体"/>
          <w:color w:val="000000"/>
          <w:sz w:val="32"/>
          <w:szCs w:val="32"/>
          <w:lang w:eastAsia="zh-CN"/>
        </w:rPr>
        <w:t>三、一般公共预算“三公”经费预算安排情况</w:t>
      </w:r>
    </w:p>
    <w:p>
      <w:pPr>
        <w:spacing w:line="580" w:lineRule="exact"/>
        <w:ind w:firstLine="640" w:firstLineChars="200"/>
        <w:rPr>
          <w:rFonts w:eastAsia="黑体"/>
          <w:color w:val="000000"/>
          <w:sz w:val="32"/>
          <w:szCs w:val="32"/>
        </w:rPr>
      </w:pPr>
      <w:r>
        <w:rPr>
          <w:rFonts w:hint="eastAsia" w:eastAsia="黑体"/>
          <w:color w:val="000000"/>
          <w:sz w:val="32"/>
          <w:szCs w:val="32"/>
          <w:lang w:eastAsia="zh-CN"/>
        </w:rPr>
        <w:t>四</w:t>
      </w:r>
      <w:r>
        <w:rPr>
          <w:rFonts w:eastAsia="黑体"/>
          <w:color w:val="000000"/>
          <w:sz w:val="32"/>
          <w:szCs w:val="32"/>
        </w:rPr>
        <w:t>、预算绩效管理工作开展情况</w:t>
      </w:r>
    </w:p>
    <w:p>
      <w:pPr>
        <w:widowControl/>
        <w:spacing w:line="600" w:lineRule="exact"/>
        <w:jc w:val="both"/>
        <w:rPr>
          <w:rFonts w:hint="eastAsia" w:eastAsia="方正小标宋_GBK"/>
          <w:bCs/>
          <w:kern w:val="0"/>
          <w:sz w:val="36"/>
          <w:szCs w:val="36"/>
        </w:rPr>
      </w:pPr>
      <w:r>
        <w:rPr>
          <w:rFonts w:eastAsia="方正小标宋_GBK"/>
          <w:bCs/>
          <w:kern w:val="0"/>
          <w:sz w:val="36"/>
          <w:szCs w:val="36"/>
        </w:rPr>
        <w:br w:type="page"/>
      </w:r>
      <w:r>
        <w:rPr>
          <w:rFonts w:eastAsia="方正小标宋_GBK"/>
          <w:bCs/>
          <w:kern w:val="0"/>
          <w:sz w:val="36"/>
          <w:szCs w:val="36"/>
        </w:rPr>
        <w:t>第一部分</w:t>
      </w:r>
      <w:r>
        <w:rPr>
          <w:rFonts w:hint="eastAsia" w:eastAsia="方正小标宋_GBK"/>
          <w:bCs/>
          <w:kern w:val="0"/>
          <w:sz w:val="36"/>
          <w:szCs w:val="36"/>
        </w:rPr>
        <w:t xml:space="preserve"> 关于怀化市鹤城区2018年财政预算执行情况和2019年财政预算草案的报告（</w:t>
      </w:r>
      <w:r>
        <w:rPr>
          <w:rFonts w:hint="eastAsia" w:eastAsia="方正小标宋_GBK"/>
          <w:bCs/>
          <w:kern w:val="0"/>
          <w:sz w:val="36"/>
          <w:szCs w:val="36"/>
          <w:lang w:eastAsia="zh-CN"/>
        </w:rPr>
        <w:t>见上文</w:t>
      </w:r>
      <w:r>
        <w:rPr>
          <w:rFonts w:hint="eastAsia" w:eastAsia="方正小标宋_GBK"/>
          <w:bCs/>
          <w:kern w:val="0"/>
          <w:sz w:val="36"/>
          <w:szCs w:val="36"/>
        </w:rPr>
        <w:t>）</w:t>
      </w:r>
    </w:p>
    <w:p>
      <w:pPr>
        <w:widowControl/>
        <w:spacing w:line="600" w:lineRule="exact"/>
        <w:jc w:val="both"/>
        <w:rPr>
          <w:rFonts w:hint="eastAsia" w:eastAsia="方正小标宋_GBK"/>
          <w:bCs/>
          <w:kern w:val="0"/>
          <w:sz w:val="36"/>
          <w:szCs w:val="36"/>
          <w:lang w:eastAsia="zh-CN"/>
        </w:rPr>
      </w:pPr>
      <w:r>
        <w:rPr>
          <w:rFonts w:eastAsia="方正小标宋_GBK"/>
          <w:bCs/>
          <w:kern w:val="0"/>
          <w:sz w:val="36"/>
          <w:szCs w:val="36"/>
        </w:rPr>
        <w:t>第二部分</w:t>
      </w:r>
      <w:r>
        <w:rPr>
          <w:rFonts w:hint="eastAsia" w:eastAsia="方正小标宋_GBK"/>
          <w:bCs/>
          <w:kern w:val="0"/>
          <w:sz w:val="36"/>
          <w:szCs w:val="36"/>
        </w:rPr>
        <w:t xml:space="preserve"> 预算</w:t>
      </w:r>
      <w:r>
        <w:rPr>
          <w:rFonts w:hint="eastAsia" w:eastAsia="方正小标宋_GBK"/>
          <w:bCs/>
          <w:kern w:val="0"/>
          <w:sz w:val="36"/>
          <w:szCs w:val="36"/>
          <w:lang w:eastAsia="zh-CN"/>
        </w:rPr>
        <w:t>表（见附表）</w:t>
      </w:r>
    </w:p>
    <w:p>
      <w:pPr>
        <w:widowControl/>
        <w:spacing w:line="600" w:lineRule="exact"/>
        <w:jc w:val="both"/>
        <w:rPr>
          <w:rFonts w:eastAsia="仿宋_GB2312"/>
          <w:b/>
          <w:bCs/>
          <w:kern w:val="0"/>
          <w:sz w:val="32"/>
          <w:szCs w:val="32"/>
        </w:rPr>
      </w:pPr>
      <w:r>
        <w:rPr>
          <w:rFonts w:eastAsia="方正小标宋_GBK"/>
          <w:bCs/>
          <w:kern w:val="0"/>
          <w:sz w:val="36"/>
          <w:szCs w:val="36"/>
        </w:rPr>
        <w:t>第</w:t>
      </w:r>
      <w:r>
        <w:rPr>
          <w:rFonts w:hint="eastAsia" w:eastAsia="方正小标宋_GBK"/>
          <w:bCs/>
          <w:kern w:val="0"/>
          <w:sz w:val="36"/>
          <w:szCs w:val="36"/>
        </w:rPr>
        <w:t>三</w:t>
      </w:r>
      <w:r>
        <w:rPr>
          <w:rFonts w:eastAsia="方正小标宋_GBK"/>
          <w:bCs/>
          <w:kern w:val="0"/>
          <w:sz w:val="36"/>
          <w:szCs w:val="36"/>
        </w:rPr>
        <w:t xml:space="preserve">部分 </w:t>
      </w:r>
      <w:r>
        <w:rPr>
          <w:rFonts w:hint="eastAsia" w:eastAsia="方正小标宋_GBK"/>
          <w:bCs/>
          <w:kern w:val="0"/>
          <w:sz w:val="36"/>
          <w:szCs w:val="36"/>
        </w:rPr>
        <w:t>相关</w:t>
      </w:r>
      <w:r>
        <w:rPr>
          <w:rFonts w:eastAsia="方正小标宋_GBK"/>
          <w:bCs/>
          <w:kern w:val="0"/>
          <w:sz w:val="36"/>
          <w:szCs w:val="36"/>
        </w:rPr>
        <w:t>说明</w:t>
      </w:r>
    </w:p>
    <w:p>
      <w:pPr>
        <w:widowControl/>
        <w:spacing w:line="600" w:lineRule="exact"/>
        <w:ind w:firstLine="627" w:firstLineChars="196"/>
        <w:jc w:val="left"/>
        <w:rPr>
          <w:rFonts w:eastAsia="黑体"/>
          <w:bCs/>
          <w:kern w:val="0"/>
          <w:sz w:val="32"/>
          <w:szCs w:val="32"/>
        </w:rPr>
      </w:pPr>
      <w:r>
        <w:rPr>
          <w:rFonts w:eastAsia="黑体"/>
          <w:bCs/>
          <w:kern w:val="0"/>
          <w:sz w:val="32"/>
          <w:szCs w:val="32"/>
        </w:rPr>
        <w:t>一、税收返还和转移支付情况</w:t>
      </w:r>
    </w:p>
    <w:p>
      <w:pPr>
        <w:spacing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2019</w:t>
      </w:r>
      <w:r>
        <w:rPr>
          <w:rFonts w:eastAsia="仿宋_GB2312"/>
          <w:color w:val="000000"/>
          <w:sz w:val="32"/>
          <w:szCs w:val="32"/>
        </w:rPr>
        <w:t>年，</w:t>
      </w:r>
      <w:r>
        <w:rPr>
          <w:rFonts w:hint="eastAsia" w:eastAsia="仿宋_GB2312"/>
          <w:color w:val="000000"/>
          <w:sz w:val="32"/>
          <w:szCs w:val="32"/>
          <w:lang w:eastAsia="zh-CN"/>
        </w:rPr>
        <w:t>鹤城区</w:t>
      </w:r>
      <w:r>
        <w:rPr>
          <w:rFonts w:eastAsia="仿宋_GB2312"/>
          <w:color w:val="000000"/>
          <w:sz w:val="32"/>
          <w:szCs w:val="32"/>
        </w:rPr>
        <w:t>税收返还和转移支付预算</w:t>
      </w:r>
      <w:r>
        <w:rPr>
          <w:rFonts w:hint="eastAsia" w:eastAsia="仿宋_GB2312"/>
          <w:color w:val="000000"/>
          <w:sz w:val="32"/>
          <w:szCs w:val="32"/>
          <w:lang w:val="en-US" w:eastAsia="zh-CN"/>
        </w:rPr>
        <w:t>191486万元</w:t>
      </w:r>
      <w:r>
        <w:rPr>
          <w:rFonts w:eastAsia="仿宋_GB2312"/>
          <w:color w:val="000000"/>
          <w:sz w:val="32"/>
          <w:szCs w:val="32"/>
        </w:rPr>
        <w:t>，其中：</w:t>
      </w:r>
    </w:p>
    <w:p>
      <w:pPr>
        <w:spacing w:line="600" w:lineRule="exact"/>
        <w:ind w:firstLine="643" w:firstLineChars="200"/>
        <w:rPr>
          <w:rFonts w:eastAsia="楷体_GB2312"/>
          <w:b/>
          <w:color w:val="000000"/>
          <w:sz w:val="32"/>
          <w:szCs w:val="32"/>
        </w:rPr>
      </w:pPr>
      <w:r>
        <w:rPr>
          <w:rFonts w:eastAsia="楷体_GB2312"/>
          <w:b/>
          <w:color w:val="000000"/>
          <w:sz w:val="32"/>
          <w:szCs w:val="32"/>
        </w:rPr>
        <w:t>（一）税收返还</w:t>
      </w:r>
    </w:p>
    <w:p>
      <w:pPr>
        <w:spacing w:line="600" w:lineRule="exact"/>
        <w:ind w:firstLine="640" w:firstLineChars="200"/>
        <w:rPr>
          <w:rFonts w:eastAsia="仿宋_GB2312"/>
          <w:color w:val="000000"/>
          <w:sz w:val="32"/>
          <w:szCs w:val="32"/>
        </w:rPr>
      </w:pPr>
      <w:r>
        <w:rPr>
          <w:rFonts w:eastAsia="仿宋_GB2312"/>
          <w:color w:val="000000"/>
          <w:sz w:val="32"/>
          <w:szCs w:val="32"/>
        </w:rPr>
        <w:t>税收返还</w:t>
      </w:r>
      <w:r>
        <w:rPr>
          <w:rFonts w:hint="eastAsia" w:eastAsia="仿宋_GB2312"/>
          <w:color w:val="000000"/>
          <w:sz w:val="32"/>
          <w:szCs w:val="32"/>
          <w:lang w:val="en-US" w:eastAsia="zh-CN"/>
        </w:rPr>
        <w:t>9889万元</w:t>
      </w:r>
      <w:r>
        <w:rPr>
          <w:rFonts w:eastAsia="仿宋_GB2312"/>
          <w:color w:val="000000"/>
          <w:sz w:val="32"/>
          <w:szCs w:val="32"/>
        </w:rPr>
        <w:t>，其中：</w:t>
      </w:r>
    </w:p>
    <w:p>
      <w:pPr>
        <w:spacing w:line="600" w:lineRule="exact"/>
        <w:ind w:firstLine="640" w:firstLineChars="200"/>
        <w:rPr>
          <w:rFonts w:eastAsia="仿宋_GB2312"/>
          <w:color w:val="000000"/>
          <w:sz w:val="32"/>
          <w:szCs w:val="32"/>
        </w:rPr>
      </w:pPr>
      <w:r>
        <w:rPr>
          <w:rFonts w:hint="eastAsia" w:eastAsia="仿宋_GB2312"/>
          <w:color w:val="000000"/>
          <w:sz w:val="32"/>
          <w:szCs w:val="32"/>
        </w:rPr>
        <w:t>所得税基数返还收入</w:t>
      </w:r>
      <w:r>
        <w:rPr>
          <w:rFonts w:hint="eastAsia" w:eastAsia="仿宋_GB2312"/>
          <w:color w:val="000000"/>
          <w:sz w:val="32"/>
          <w:szCs w:val="32"/>
          <w:lang w:val="en-US" w:eastAsia="zh-CN"/>
        </w:rPr>
        <w:t>679万元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int="eastAsia" w:eastAsia="仿宋_GB2312"/>
          <w:color w:val="000000"/>
          <w:sz w:val="32"/>
          <w:szCs w:val="32"/>
        </w:rPr>
        <w:t>成品油税费改革税收返还收入</w:t>
      </w:r>
      <w:r>
        <w:rPr>
          <w:rFonts w:hint="eastAsia" w:eastAsia="仿宋_GB2312"/>
          <w:color w:val="000000"/>
          <w:sz w:val="32"/>
          <w:szCs w:val="32"/>
          <w:lang w:val="en-US" w:eastAsia="zh-CN"/>
        </w:rPr>
        <w:t>389万元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int="eastAsia" w:eastAsia="仿宋_GB2312"/>
          <w:color w:val="000000"/>
          <w:sz w:val="32"/>
          <w:szCs w:val="32"/>
        </w:rPr>
        <w:t>增值税税收返还收入</w:t>
      </w:r>
      <w:r>
        <w:rPr>
          <w:rFonts w:hint="eastAsia" w:eastAsia="仿宋_GB2312"/>
          <w:color w:val="000000"/>
          <w:sz w:val="32"/>
          <w:szCs w:val="32"/>
          <w:lang w:val="en-US" w:eastAsia="zh-CN"/>
        </w:rPr>
        <w:t>887万元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int="eastAsia" w:eastAsia="仿宋_GB2312"/>
          <w:color w:val="000000"/>
          <w:sz w:val="32"/>
          <w:szCs w:val="32"/>
        </w:rPr>
        <w:t>消费税税收返还收入</w:t>
      </w:r>
      <w:r>
        <w:rPr>
          <w:rFonts w:hint="eastAsia" w:eastAsia="仿宋_GB2312"/>
          <w:color w:val="000000"/>
          <w:sz w:val="32"/>
          <w:szCs w:val="32"/>
          <w:lang w:val="en-US" w:eastAsia="zh-CN"/>
        </w:rPr>
        <w:t>54万元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int="eastAsia" w:eastAsia="仿宋_GB2312"/>
          <w:color w:val="000000"/>
          <w:sz w:val="32"/>
          <w:szCs w:val="32"/>
        </w:rPr>
        <w:t>增值税“五五分享”税收返还收入</w:t>
      </w:r>
      <w:r>
        <w:rPr>
          <w:rFonts w:hint="eastAsia" w:eastAsia="仿宋_GB2312"/>
          <w:color w:val="000000"/>
          <w:sz w:val="32"/>
          <w:szCs w:val="32"/>
          <w:lang w:val="en-US" w:eastAsia="zh-CN"/>
        </w:rPr>
        <w:t>3916万元</w:t>
      </w:r>
      <w:r>
        <w:rPr>
          <w:rFonts w:eastAsia="仿宋_GB2312"/>
          <w:color w:val="000000"/>
          <w:sz w:val="32"/>
          <w:szCs w:val="32"/>
        </w:rPr>
        <w:t>;</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rPr>
        <w:t>其他返还性收入</w:t>
      </w:r>
      <w:r>
        <w:rPr>
          <w:rFonts w:hint="eastAsia" w:eastAsia="仿宋_GB2312"/>
          <w:color w:val="000000"/>
          <w:sz w:val="32"/>
          <w:szCs w:val="32"/>
          <w:lang w:val="en-US" w:eastAsia="zh-CN"/>
        </w:rPr>
        <w:t>3964万元。</w:t>
      </w:r>
    </w:p>
    <w:p>
      <w:pPr>
        <w:spacing w:line="600" w:lineRule="exact"/>
        <w:ind w:firstLine="643" w:firstLineChars="200"/>
        <w:rPr>
          <w:rFonts w:eastAsia="楷体_GB2312"/>
          <w:b/>
          <w:color w:val="000000"/>
          <w:sz w:val="32"/>
          <w:szCs w:val="32"/>
        </w:rPr>
      </w:pPr>
      <w:r>
        <w:rPr>
          <w:rFonts w:eastAsia="楷体_GB2312"/>
          <w:b/>
          <w:color w:val="000000"/>
          <w:sz w:val="32"/>
          <w:szCs w:val="32"/>
        </w:rPr>
        <w:t>（二）一般性转移支付</w:t>
      </w:r>
    </w:p>
    <w:p>
      <w:pPr>
        <w:spacing w:line="600" w:lineRule="exact"/>
        <w:ind w:firstLine="640" w:firstLineChars="200"/>
        <w:rPr>
          <w:rFonts w:eastAsia="仿宋_GB2312"/>
          <w:color w:val="000000"/>
          <w:sz w:val="32"/>
          <w:szCs w:val="32"/>
        </w:rPr>
      </w:pPr>
      <w:r>
        <w:rPr>
          <w:rFonts w:eastAsia="仿宋_GB2312"/>
          <w:color w:val="000000"/>
          <w:sz w:val="32"/>
          <w:szCs w:val="32"/>
        </w:rPr>
        <w:t>一般性转移支付</w:t>
      </w:r>
      <w:r>
        <w:rPr>
          <w:rFonts w:hint="eastAsia" w:eastAsia="仿宋_GB2312"/>
          <w:color w:val="000000"/>
          <w:sz w:val="32"/>
          <w:szCs w:val="32"/>
          <w:lang w:val="en-US" w:eastAsia="zh-CN"/>
        </w:rPr>
        <w:t>109442万元</w:t>
      </w:r>
      <w:r>
        <w:rPr>
          <w:rFonts w:eastAsia="仿宋_GB2312"/>
          <w:color w:val="000000"/>
          <w:sz w:val="32"/>
          <w:szCs w:val="32"/>
        </w:rPr>
        <w:t>，其中：</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1. </w:t>
      </w:r>
      <w:r>
        <w:rPr>
          <w:rFonts w:hint="eastAsia" w:eastAsia="仿宋_GB2312"/>
          <w:color w:val="000000"/>
          <w:sz w:val="32"/>
          <w:szCs w:val="32"/>
        </w:rPr>
        <w:t>体制补助收入</w:t>
      </w:r>
      <w:r>
        <w:rPr>
          <w:rFonts w:hint="eastAsia" w:eastAsia="仿宋_GB2312"/>
          <w:color w:val="000000"/>
          <w:sz w:val="32"/>
          <w:szCs w:val="32"/>
          <w:lang w:val="en-US" w:eastAsia="zh-CN"/>
        </w:rPr>
        <w:t>1438万元</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2. </w:t>
      </w:r>
      <w:r>
        <w:rPr>
          <w:rFonts w:hint="eastAsia" w:eastAsia="仿宋_GB2312"/>
          <w:color w:val="000000"/>
          <w:sz w:val="32"/>
          <w:szCs w:val="32"/>
        </w:rPr>
        <w:t>均衡性转移支付收入</w:t>
      </w:r>
      <w:r>
        <w:rPr>
          <w:rFonts w:hint="eastAsia" w:eastAsia="仿宋_GB2312"/>
          <w:color w:val="000000"/>
          <w:sz w:val="32"/>
          <w:szCs w:val="32"/>
          <w:lang w:val="en-US" w:eastAsia="zh-CN"/>
        </w:rPr>
        <w:t>21390万元</w:t>
      </w:r>
      <w:r>
        <w:rPr>
          <w:rFonts w:eastAsia="仿宋_GB2312"/>
          <w:color w:val="000000"/>
          <w:sz w:val="32"/>
          <w:szCs w:val="32"/>
        </w:rPr>
        <w:t>,;</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3.县级基本财力保障机制奖补资金收入1779万元；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4.结算补助收入9724万元；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5.企业事业单位划转补助收入283万元；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6.基层公检法司转移支付收入261万元；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7.城乡义务教育转移支付收入13237万元；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8.基本养老金转移支付收入25442万元；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9.城乡居民医疗保险转移支付收入13077万元；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10.</w:t>
      </w:r>
      <w:r>
        <w:rPr>
          <w:rFonts w:hint="default" w:eastAsia="仿宋_GB2312"/>
          <w:color w:val="000000"/>
          <w:sz w:val="32"/>
          <w:szCs w:val="32"/>
          <w:lang w:val="en-US" w:eastAsia="zh-CN"/>
        </w:rPr>
        <w:t>农村综合改革转移支付收入900</w:t>
      </w:r>
      <w:r>
        <w:rPr>
          <w:rFonts w:hint="eastAsia" w:eastAsia="仿宋_GB2312"/>
          <w:color w:val="000000"/>
          <w:sz w:val="32"/>
          <w:szCs w:val="32"/>
          <w:lang w:val="en-US" w:eastAsia="zh-CN"/>
        </w:rPr>
        <w:t>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11.重点生态功能区转移支付收入</w:t>
      </w:r>
      <w:r>
        <w:rPr>
          <w:rFonts w:hint="default" w:eastAsia="仿宋_GB2312"/>
          <w:color w:val="000000"/>
          <w:sz w:val="32"/>
          <w:szCs w:val="32"/>
          <w:lang w:val="en-US" w:eastAsia="zh-CN"/>
        </w:rPr>
        <w:t>3822</w:t>
      </w:r>
      <w:r>
        <w:rPr>
          <w:rFonts w:hint="eastAsia" w:eastAsia="仿宋_GB2312"/>
          <w:color w:val="000000"/>
          <w:sz w:val="32"/>
          <w:szCs w:val="32"/>
          <w:lang w:val="en-US" w:eastAsia="zh-CN"/>
        </w:rPr>
        <w:t>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12.固定数额补助收入5912万元；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13.革命老区转移支付收入140万元；</w:t>
      </w:r>
    </w:p>
    <w:p>
      <w:pPr>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14.贫困地区转移支付收入3805万元；</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15.其他一般性转移支付收入8232万元；</w:t>
      </w:r>
    </w:p>
    <w:p>
      <w:pPr>
        <w:spacing w:line="580" w:lineRule="exact"/>
        <w:ind w:firstLine="643" w:firstLineChars="200"/>
        <w:rPr>
          <w:rFonts w:eastAsia="楷体_GB2312"/>
          <w:b/>
          <w:color w:val="000000"/>
          <w:sz w:val="32"/>
          <w:szCs w:val="32"/>
        </w:rPr>
      </w:pPr>
      <w:r>
        <w:rPr>
          <w:rFonts w:eastAsia="楷体_GB2312"/>
          <w:b/>
          <w:color w:val="000000"/>
          <w:sz w:val="32"/>
          <w:szCs w:val="32"/>
        </w:rPr>
        <w:t>（三）专项转移支付</w:t>
      </w:r>
    </w:p>
    <w:p>
      <w:pPr>
        <w:spacing w:line="580" w:lineRule="exact"/>
        <w:ind w:firstLine="640" w:firstLineChars="200"/>
        <w:rPr>
          <w:rFonts w:eastAsia="仿宋_GB2312"/>
          <w:color w:val="000000"/>
          <w:sz w:val="32"/>
          <w:szCs w:val="32"/>
        </w:rPr>
      </w:pPr>
      <w:r>
        <w:rPr>
          <w:rFonts w:eastAsia="仿宋_GB2312"/>
          <w:color w:val="000000"/>
          <w:sz w:val="32"/>
          <w:szCs w:val="32"/>
        </w:rPr>
        <w:t>专项转移支付</w:t>
      </w:r>
      <w:r>
        <w:rPr>
          <w:rFonts w:hint="eastAsia" w:eastAsia="仿宋_GB2312"/>
          <w:color w:val="000000"/>
          <w:sz w:val="32"/>
          <w:szCs w:val="32"/>
          <w:lang w:val="en-US" w:eastAsia="zh-CN"/>
        </w:rPr>
        <w:t>72155万元，</w:t>
      </w:r>
      <w:r>
        <w:rPr>
          <w:rFonts w:eastAsia="仿宋_GB2312"/>
          <w:color w:val="000000"/>
          <w:sz w:val="32"/>
          <w:szCs w:val="32"/>
        </w:rPr>
        <w:t>其中：</w:t>
      </w:r>
    </w:p>
    <w:p>
      <w:pPr>
        <w:numPr>
          <w:ilvl w:val="0"/>
          <w:numId w:val="1"/>
        </w:numPr>
        <w:spacing w:line="580" w:lineRule="exact"/>
        <w:ind w:firstLine="640" w:firstLineChars="200"/>
        <w:rPr>
          <w:rFonts w:eastAsia="仿宋_GB2312"/>
          <w:color w:val="000000"/>
          <w:sz w:val="32"/>
          <w:szCs w:val="32"/>
        </w:rPr>
      </w:pPr>
      <w:r>
        <w:rPr>
          <w:rFonts w:eastAsia="仿宋_GB2312"/>
          <w:color w:val="000000"/>
          <w:sz w:val="32"/>
          <w:szCs w:val="32"/>
        </w:rPr>
        <w:t>一般公共服务支出</w:t>
      </w:r>
      <w:r>
        <w:rPr>
          <w:rFonts w:hint="eastAsia" w:eastAsia="仿宋_GB2312"/>
          <w:color w:val="000000"/>
          <w:sz w:val="32"/>
          <w:szCs w:val="32"/>
        </w:rPr>
        <w:t>3476</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公共安全</w:t>
      </w:r>
      <w:r>
        <w:rPr>
          <w:rFonts w:hint="eastAsia" w:eastAsia="仿宋_GB2312"/>
          <w:color w:val="000000"/>
          <w:sz w:val="32"/>
          <w:szCs w:val="32"/>
          <w:lang w:eastAsia="zh-CN"/>
        </w:rPr>
        <w:t>支出206</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eastAsia="仿宋_GB2312"/>
          <w:color w:val="000000"/>
          <w:sz w:val="32"/>
          <w:szCs w:val="32"/>
        </w:rPr>
        <w:t>教育支出</w:t>
      </w:r>
      <w:r>
        <w:rPr>
          <w:rFonts w:hint="eastAsia" w:eastAsia="仿宋_GB2312"/>
          <w:color w:val="000000"/>
          <w:sz w:val="32"/>
          <w:szCs w:val="32"/>
        </w:rPr>
        <w:t>5925</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科学技术</w:t>
      </w:r>
      <w:r>
        <w:rPr>
          <w:rFonts w:eastAsia="仿宋_GB2312"/>
          <w:color w:val="000000"/>
          <w:sz w:val="32"/>
          <w:szCs w:val="32"/>
        </w:rPr>
        <w:t>支出</w:t>
      </w:r>
      <w:r>
        <w:rPr>
          <w:rFonts w:hint="eastAsia" w:eastAsia="仿宋_GB2312"/>
          <w:color w:val="000000"/>
          <w:sz w:val="32"/>
          <w:szCs w:val="32"/>
        </w:rPr>
        <w:t>497</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文化体育与传媒</w:t>
      </w:r>
      <w:r>
        <w:rPr>
          <w:rFonts w:eastAsia="仿宋_GB2312"/>
          <w:color w:val="000000"/>
          <w:sz w:val="32"/>
          <w:szCs w:val="32"/>
        </w:rPr>
        <w:t>支出</w:t>
      </w:r>
      <w:r>
        <w:rPr>
          <w:rFonts w:hint="eastAsia" w:eastAsia="仿宋_GB2312"/>
          <w:color w:val="000000"/>
          <w:sz w:val="32"/>
          <w:szCs w:val="32"/>
        </w:rPr>
        <w:t>654</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社会保障和就业</w:t>
      </w:r>
      <w:r>
        <w:rPr>
          <w:rFonts w:eastAsia="仿宋_GB2312"/>
          <w:color w:val="000000"/>
          <w:sz w:val="32"/>
          <w:szCs w:val="32"/>
        </w:rPr>
        <w:t>支出</w:t>
      </w:r>
      <w:r>
        <w:rPr>
          <w:rFonts w:hint="eastAsia" w:eastAsia="仿宋_GB2312"/>
          <w:color w:val="000000"/>
          <w:sz w:val="32"/>
          <w:szCs w:val="32"/>
        </w:rPr>
        <w:t>9167</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医疗卫生与计划生育</w:t>
      </w:r>
      <w:r>
        <w:rPr>
          <w:rFonts w:eastAsia="仿宋_GB2312"/>
          <w:color w:val="000000"/>
          <w:sz w:val="32"/>
          <w:szCs w:val="32"/>
        </w:rPr>
        <w:t>支出</w:t>
      </w:r>
      <w:r>
        <w:rPr>
          <w:rFonts w:hint="eastAsia" w:eastAsia="仿宋_GB2312"/>
          <w:color w:val="000000"/>
          <w:sz w:val="32"/>
          <w:szCs w:val="32"/>
        </w:rPr>
        <w:t>8019</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节能环保</w:t>
      </w:r>
      <w:r>
        <w:rPr>
          <w:rFonts w:eastAsia="仿宋_GB2312"/>
          <w:color w:val="000000"/>
          <w:sz w:val="32"/>
          <w:szCs w:val="32"/>
        </w:rPr>
        <w:t>支出</w:t>
      </w:r>
      <w:r>
        <w:rPr>
          <w:rFonts w:hint="eastAsia" w:eastAsia="仿宋_GB2312"/>
          <w:color w:val="000000"/>
          <w:sz w:val="32"/>
          <w:szCs w:val="32"/>
        </w:rPr>
        <w:t>969</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城乡社区</w:t>
      </w:r>
      <w:r>
        <w:rPr>
          <w:rFonts w:eastAsia="仿宋_GB2312"/>
          <w:color w:val="000000"/>
          <w:sz w:val="32"/>
          <w:szCs w:val="32"/>
        </w:rPr>
        <w:t>支出</w:t>
      </w:r>
      <w:r>
        <w:rPr>
          <w:rFonts w:hint="eastAsia" w:eastAsia="仿宋_GB2312"/>
          <w:color w:val="000000"/>
          <w:sz w:val="32"/>
          <w:szCs w:val="32"/>
        </w:rPr>
        <w:t>16152</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农林水</w:t>
      </w:r>
      <w:r>
        <w:rPr>
          <w:rFonts w:eastAsia="仿宋_GB2312"/>
          <w:color w:val="000000"/>
          <w:sz w:val="32"/>
          <w:szCs w:val="32"/>
        </w:rPr>
        <w:t>支出</w:t>
      </w:r>
      <w:r>
        <w:rPr>
          <w:rFonts w:hint="eastAsia" w:eastAsia="仿宋_GB2312"/>
          <w:color w:val="000000"/>
          <w:sz w:val="32"/>
          <w:szCs w:val="32"/>
        </w:rPr>
        <w:t>11373</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交通运输</w:t>
      </w:r>
      <w:r>
        <w:rPr>
          <w:rFonts w:eastAsia="仿宋_GB2312"/>
          <w:color w:val="000000"/>
          <w:sz w:val="32"/>
          <w:szCs w:val="32"/>
        </w:rPr>
        <w:t>支出</w:t>
      </w:r>
      <w:r>
        <w:rPr>
          <w:rFonts w:hint="eastAsia" w:eastAsia="仿宋_GB2312"/>
          <w:color w:val="000000"/>
          <w:sz w:val="32"/>
          <w:szCs w:val="32"/>
        </w:rPr>
        <w:t>4537</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资源勘探信息等</w:t>
      </w:r>
      <w:r>
        <w:rPr>
          <w:rFonts w:eastAsia="仿宋_GB2312"/>
          <w:color w:val="000000"/>
          <w:sz w:val="32"/>
          <w:szCs w:val="32"/>
        </w:rPr>
        <w:t>支出</w:t>
      </w:r>
      <w:r>
        <w:rPr>
          <w:rFonts w:hint="eastAsia" w:eastAsia="仿宋_GB2312"/>
          <w:color w:val="000000"/>
          <w:sz w:val="32"/>
          <w:szCs w:val="32"/>
        </w:rPr>
        <w:t>6770</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商业服务业等</w:t>
      </w:r>
      <w:r>
        <w:rPr>
          <w:rFonts w:eastAsia="仿宋_GB2312"/>
          <w:color w:val="000000"/>
          <w:sz w:val="32"/>
          <w:szCs w:val="32"/>
        </w:rPr>
        <w:t>支出</w:t>
      </w:r>
      <w:r>
        <w:rPr>
          <w:rFonts w:hint="eastAsia" w:eastAsia="仿宋_GB2312"/>
          <w:color w:val="000000"/>
          <w:sz w:val="32"/>
          <w:szCs w:val="32"/>
        </w:rPr>
        <w:t>1672</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国土海洋气象等</w:t>
      </w:r>
      <w:r>
        <w:rPr>
          <w:rFonts w:eastAsia="仿宋_GB2312"/>
          <w:color w:val="000000"/>
          <w:sz w:val="32"/>
          <w:szCs w:val="32"/>
        </w:rPr>
        <w:t>支出</w:t>
      </w:r>
      <w:r>
        <w:rPr>
          <w:rFonts w:hint="eastAsia" w:eastAsia="仿宋_GB2312"/>
          <w:color w:val="000000"/>
          <w:sz w:val="32"/>
          <w:szCs w:val="32"/>
        </w:rPr>
        <w:t>1169</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住房保障</w:t>
      </w:r>
      <w:r>
        <w:rPr>
          <w:rFonts w:eastAsia="仿宋_GB2312"/>
          <w:color w:val="000000"/>
          <w:sz w:val="32"/>
          <w:szCs w:val="32"/>
        </w:rPr>
        <w:t>支出</w:t>
      </w:r>
      <w:r>
        <w:rPr>
          <w:rFonts w:hint="eastAsia" w:eastAsia="仿宋_GB2312"/>
          <w:color w:val="000000"/>
          <w:sz w:val="32"/>
          <w:szCs w:val="32"/>
        </w:rPr>
        <w:t>1474</w:t>
      </w:r>
      <w:r>
        <w:rPr>
          <w:rFonts w:hint="eastAsia" w:eastAsia="仿宋_GB2312"/>
          <w:color w:val="000000"/>
          <w:sz w:val="32"/>
          <w:szCs w:val="32"/>
          <w:lang w:val="en-US" w:eastAsia="zh-CN"/>
        </w:rPr>
        <w:t>万元</w:t>
      </w:r>
      <w:r>
        <w:rPr>
          <w:rFonts w:eastAsia="仿宋_GB2312"/>
          <w:color w:val="000000"/>
          <w:sz w:val="32"/>
          <w:szCs w:val="32"/>
        </w:rPr>
        <w:t>;</w:t>
      </w:r>
    </w:p>
    <w:p>
      <w:pPr>
        <w:numPr>
          <w:ilvl w:val="0"/>
          <w:numId w:val="1"/>
        </w:numPr>
        <w:spacing w:line="580" w:lineRule="exact"/>
        <w:ind w:firstLine="640" w:firstLineChars="200"/>
        <w:rPr>
          <w:rFonts w:eastAsia="仿宋_GB2312"/>
          <w:color w:val="000000"/>
          <w:sz w:val="32"/>
          <w:szCs w:val="32"/>
        </w:rPr>
      </w:pPr>
      <w:r>
        <w:rPr>
          <w:rFonts w:hint="eastAsia" w:eastAsia="仿宋_GB2312"/>
          <w:color w:val="000000"/>
          <w:sz w:val="32"/>
          <w:szCs w:val="32"/>
        </w:rPr>
        <w:t>粮油物资储备</w:t>
      </w:r>
      <w:r>
        <w:rPr>
          <w:rFonts w:eastAsia="仿宋_GB2312"/>
          <w:color w:val="000000"/>
          <w:sz w:val="32"/>
          <w:szCs w:val="32"/>
        </w:rPr>
        <w:t>支出</w:t>
      </w:r>
      <w:r>
        <w:rPr>
          <w:rFonts w:hint="eastAsia" w:eastAsia="仿宋_GB2312"/>
          <w:color w:val="000000"/>
          <w:sz w:val="32"/>
          <w:szCs w:val="32"/>
        </w:rPr>
        <w:t>95</w:t>
      </w:r>
      <w:r>
        <w:rPr>
          <w:rFonts w:hint="eastAsia" w:eastAsia="仿宋_GB2312"/>
          <w:color w:val="000000"/>
          <w:sz w:val="32"/>
          <w:szCs w:val="32"/>
          <w:lang w:val="en-US" w:eastAsia="zh-CN"/>
        </w:rPr>
        <w:t>万元</w:t>
      </w:r>
      <w:r>
        <w:rPr>
          <w:rFonts w:eastAsia="仿宋_GB2312"/>
          <w:color w:val="000000"/>
          <w:sz w:val="32"/>
          <w:szCs w:val="32"/>
        </w:rPr>
        <w:t>;</w:t>
      </w:r>
    </w:p>
    <w:p>
      <w:pPr>
        <w:spacing w:line="580" w:lineRule="exact"/>
        <w:ind w:firstLine="640" w:firstLineChars="200"/>
        <w:rPr>
          <w:rFonts w:eastAsia="黑体"/>
          <w:color w:val="000000"/>
          <w:sz w:val="32"/>
          <w:szCs w:val="32"/>
        </w:rPr>
      </w:pPr>
      <w:r>
        <w:rPr>
          <w:rFonts w:eastAsia="黑体"/>
          <w:color w:val="000000"/>
          <w:sz w:val="32"/>
          <w:szCs w:val="32"/>
        </w:rPr>
        <w:t>二、举借政府债务情况</w:t>
      </w:r>
    </w:p>
    <w:p>
      <w:pPr>
        <w:spacing w:line="580" w:lineRule="exact"/>
        <w:ind w:firstLine="643" w:firstLineChars="200"/>
        <w:rPr>
          <w:rFonts w:eastAsia="楷体_GB2312"/>
          <w:b/>
          <w:color w:val="000000"/>
          <w:sz w:val="32"/>
          <w:szCs w:val="32"/>
        </w:rPr>
      </w:pPr>
      <w:r>
        <w:rPr>
          <w:rFonts w:eastAsia="楷体_GB2312"/>
          <w:b/>
          <w:color w:val="000000"/>
          <w:sz w:val="32"/>
          <w:szCs w:val="32"/>
        </w:rPr>
        <w:t>（一）地方政府债务限额余额情况</w:t>
      </w:r>
    </w:p>
    <w:p>
      <w:pPr>
        <w:numPr>
          <w:ilvl w:val="0"/>
          <w:numId w:val="0"/>
        </w:numPr>
        <w:spacing w:line="580" w:lineRule="exact"/>
        <w:ind w:firstLine="640" w:firstLineChars="200"/>
        <w:rPr>
          <w:rFonts w:hint="eastAsia" w:eastAsia="仿宋_GB2312"/>
          <w:color w:val="000000"/>
          <w:sz w:val="32"/>
          <w:szCs w:val="32"/>
        </w:rPr>
      </w:pPr>
      <w:r>
        <w:rPr>
          <w:rFonts w:hint="eastAsia" w:eastAsia="仿宋_GB2312"/>
          <w:color w:val="000000"/>
          <w:sz w:val="32"/>
          <w:szCs w:val="32"/>
        </w:rPr>
        <w:t>2018年，政府债务总限额20.14亿元，其中一般债务限额15.38亿元（其中外贷限额0.13亿元），专项债务限额4.76亿元。截止2018年底，地方政府债务余额20.01亿元，其中一般债务余额15.25亿元，专项债务余额4.76亿元。</w:t>
      </w:r>
    </w:p>
    <w:p>
      <w:pPr>
        <w:numPr>
          <w:ilvl w:val="0"/>
          <w:numId w:val="0"/>
        </w:numPr>
        <w:spacing w:line="580" w:lineRule="exact"/>
        <w:ind w:firstLine="640" w:firstLineChars="200"/>
        <w:rPr>
          <w:rFonts w:hint="eastAsia" w:eastAsia="仿宋_GB2312"/>
          <w:color w:val="FF0000"/>
          <w:sz w:val="32"/>
          <w:szCs w:val="32"/>
          <w:shd w:val="clear" w:color="FFFFFF" w:fill="D9D9D9"/>
          <w:lang w:eastAsia="zh-CN"/>
        </w:rPr>
      </w:pPr>
      <w:r>
        <w:rPr>
          <w:rFonts w:hint="eastAsia" w:eastAsia="仿宋_GB2312"/>
          <w:color w:val="000000"/>
          <w:sz w:val="32"/>
          <w:szCs w:val="32"/>
        </w:rPr>
        <w:t>2019年，政府债务总限额22.14亿元，其中一般债务限额16.59亿元（无外贷限额），专项债务限额5.55亿元。截止2019年底，地方政府债务余额22.02亿元，其中一般债务余额16.47亿元，专项债务余额5.55亿元。</w:t>
      </w:r>
    </w:p>
    <w:p>
      <w:pPr>
        <w:spacing w:line="580" w:lineRule="exact"/>
        <w:ind w:firstLine="643" w:firstLineChars="200"/>
        <w:rPr>
          <w:rFonts w:eastAsia="楷体_GB2312"/>
          <w:b/>
          <w:color w:val="000000"/>
          <w:sz w:val="32"/>
          <w:szCs w:val="32"/>
        </w:rPr>
      </w:pPr>
      <w:r>
        <w:rPr>
          <w:rFonts w:eastAsia="楷体_GB2312"/>
          <w:b/>
          <w:color w:val="000000"/>
          <w:sz w:val="32"/>
          <w:szCs w:val="32"/>
        </w:rPr>
        <w:t>（二）地方政府债券发行情况</w:t>
      </w:r>
    </w:p>
    <w:p>
      <w:pPr>
        <w:numPr>
          <w:ilvl w:val="0"/>
          <w:numId w:val="0"/>
        </w:numPr>
        <w:spacing w:line="580" w:lineRule="exact"/>
        <w:ind w:firstLine="640" w:firstLineChars="200"/>
        <w:rPr>
          <w:rFonts w:hint="eastAsia" w:eastAsia="仿宋_GB2312"/>
          <w:color w:val="000000"/>
          <w:sz w:val="32"/>
          <w:szCs w:val="32"/>
        </w:rPr>
      </w:pPr>
      <w:r>
        <w:rPr>
          <w:rFonts w:hint="eastAsia" w:eastAsia="仿宋_GB2312"/>
          <w:color w:val="000000"/>
          <w:sz w:val="32"/>
          <w:szCs w:val="32"/>
        </w:rPr>
        <w:t>2018年，省转贷新增债务限额1.4亿元，其中一般债务限额1.4亿元，专项债务限额0亿元，据此，发行一般债券1.4亿元，专项债券0亿元，平均期限5年，平均利率3.8%。同时在原定债务空间内还发行了定向调增债券3.88亿元。</w:t>
      </w:r>
    </w:p>
    <w:p>
      <w:pPr>
        <w:numPr>
          <w:ilvl w:val="0"/>
          <w:numId w:val="0"/>
        </w:numPr>
        <w:spacing w:line="580" w:lineRule="exact"/>
        <w:ind w:firstLine="640" w:firstLineChars="200"/>
        <w:rPr>
          <w:rFonts w:hint="eastAsia" w:eastAsia="仿宋_GB2312"/>
          <w:color w:val="000000"/>
          <w:sz w:val="32"/>
          <w:szCs w:val="32"/>
        </w:rPr>
      </w:pPr>
      <w:r>
        <w:rPr>
          <w:rFonts w:hint="eastAsia" w:eastAsia="仿宋_GB2312"/>
          <w:color w:val="000000"/>
          <w:sz w:val="32"/>
          <w:szCs w:val="32"/>
        </w:rPr>
        <w:t>2019年，省转贷新增债务限额2亿元，其中一般债务限额1.21亿元，专项债务限额0.79亿元，据此，发行一般债券1.21亿元，专项债券0.79亿元，平均期限12.8年，平均利率3.5%。</w:t>
      </w:r>
    </w:p>
    <w:p>
      <w:pPr>
        <w:spacing w:line="580" w:lineRule="exact"/>
        <w:ind w:firstLine="643" w:firstLineChars="200"/>
        <w:rPr>
          <w:rFonts w:eastAsia="楷体_GB2312"/>
          <w:b/>
          <w:color w:val="000000"/>
          <w:sz w:val="32"/>
          <w:szCs w:val="32"/>
        </w:rPr>
      </w:pPr>
      <w:r>
        <w:rPr>
          <w:rFonts w:eastAsia="楷体_GB2312"/>
          <w:b/>
          <w:color w:val="000000"/>
          <w:sz w:val="32"/>
          <w:szCs w:val="32"/>
        </w:rPr>
        <w:t>(三)地方政府债务还本付息情况</w:t>
      </w:r>
    </w:p>
    <w:p>
      <w:pPr>
        <w:spacing w:line="580" w:lineRule="exact"/>
        <w:ind w:firstLine="640" w:firstLineChars="200"/>
        <w:rPr>
          <w:rFonts w:hint="eastAsia" w:eastAsia="仿宋_GB2312"/>
          <w:sz w:val="32"/>
          <w:szCs w:val="32"/>
        </w:rPr>
      </w:pPr>
      <w:r>
        <w:rPr>
          <w:rFonts w:hint="eastAsia" w:eastAsia="仿宋_GB2312"/>
          <w:sz w:val="32"/>
          <w:szCs w:val="32"/>
        </w:rPr>
        <w:t>2019年偿还地方政府债券本金2.5亿元，其中一般债券0亿元，专项债务2.5亿元，支付地方政府债券利息0.6</w:t>
      </w:r>
      <w:r>
        <w:rPr>
          <w:rFonts w:hint="eastAsia" w:eastAsia="仿宋_GB2312"/>
          <w:sz w:val="32"/>
          <w:szCs w:val="32"/>
          <w:lang w:val="en-US" w:eastAsia="zh-CN"/>
        </w:rPr>
        <w:t>4</w:t>
      </w:r>
      <w:r>
        <w:rPr>
          <w:rFonts w:hint="eastAsia" w:eastAsia="仿宋_GB2312"/>
          <w:sz w:val="32"/>
          <w:szCs w:val="32"/>
        </w:rPr>
        <w:t>亿元，其中一般债券利息0.5</w:t>
      </w:r>
      <w:r>
        <w:rPr>
          <w:rFonts w:hint="eastAsia" w:eastAsia="仿宋_GB2312"/>
          <w:sz w:val="32"/>
          <w:szCs w:val="32"/>
          <w:lang w:val="en-US" w:eastAsia="zh-CN"/>
        </w:rPr>
        <w:t>2</w:t>
      </w:r>
      <w:r>
        <w:rPr>
          <w:rFonts w:hint="eastAsia" w:eastAsia="仿宋_GB2312"/>
          <w:sz w:val="32"/>
          <w:szCs w:val="32"/>
        </w:rPr>
        <w:t>亿元，专项债券利息0.12亿元。</w:t>
      </w:r>
    </w:p>
    <w:p>
      <w:pPr>
        <w:spacing w:line="580" w:lineRule="exact"/>
        <w:ind w:firstLine="640" w:firstLineChars="200"/>
        <w:rPr>
          <w:rFonts w:hint="eastAsia" w:eastAsia="黑体"/>
          <w:color w:val="000000"/>
          <w:sz w:val="32"/>
          <w:szCs w:val="32"/>
          <w:lang w:eastAsia="zh-CN"/>
        </w:rPr>
      </w:pPr>
      <w:r>
        <w:rPr>
          <w:rFonts w:hint="eastAsia" w:eastAsia="黑体"/>
          <w:color w:val="000000"/>
          <w:sz w:val="32"/>
          <w:szCs w:val="32"/>
          <w:lang w:eastAsia="zh-CN"/>
        </w:rPr>
        <w:t>三、一般公共预算“三公”经费预算安排情况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643"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val="en-US" w:eastAsia="zh-CN" w:bidi="ar"/>
        </w:rPr>
      </w:pPr>
      <w:r>
        <w:rPr>
          <w:rFonts w:hint="eastAsia" w:eastAsia="楷体_GB2312"/>
          <w:b/>
          <w:color w:val="000000"/>
          <w:sz w:val="32"/>
          <w:szCs w:val="32"/>
          <w:lang w:val="en-US" w:eastAsia="zh-CN"/>
        </w:rPr>
        <w:t>（一）2019年“三公”经费预算情况</w:t>
      </w:r>
      <w:r>
        <w:rPr>
          <w:rFonts w:hint="eastAsia" w:ascii="仿宋_GB2312" w:hAnsi="仿宋_GB2312" w:eastAsia="仿宋_GB2312" w:cs="仿宋_GB2312"/>
          <w:color w:val="333333"/>
          <w:kern w:val="0"/>
          <w:sz w:val="32"/>
          <w:szCs w:val="32"/>
          <w:shd w:val="clear" w:color="auto" w:fill="FFFFFF"/>
          <w:lang w:val="en-US" w:eastAsia="zh-CN" w:bidi="ar"/>
        </w:rPr>
        <w:br w:type="textWrapping"/>
      </w:r>
      <w:r>
        <w:rPr>
          <w:rFonts w:hint="eastAsia" w:ascii="仿宋_GB2312" w:hAnsi="仿宋_GB2312" w:eastAsia="仿宋_GB2312" w:cs="仿宋_GB2312"/>
          <w:color w:val="333333"/>
          <w:kern w:val="0"/>
          <w:sz w:val="32"/>
          <w:szCs w:val="32"/>
          <w:shd w:val="clear" w:color="auto" w:fill="FFFFFF"/>
          <w:lang w:val="en-US" w:eastAsia="zh-CN" w:bidi="ar"/>
        </w:rPr>
        <w:t xml:space="preserve">        </w:t>
      </w:r>
      <w:r>
        <w:rPr>
          <w:rFonts w:hint="eastAsia" w:eastAsia="仿宋_GB2312"/>
          <w:sz w:val="32"/>
          <w:szCs w:val="32"/>
          <w:lang w:val="en-US" w:eastAsia="zh-CN"/>
        </w:rPr>
        <w:t>2019年鹤城区“三公”经费预算共计2513.万元，其中：1、公务接待费1762.72万元；2、公务用车运行及维护费750万元（其中：公务用车购置费10万元、公务用车运行维护费740万元）；3、因公出国出（境）1万元。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firstLine="643" w:firstLineChars="200"/>
        <w:jc w:val="left"/>
        <w:textAlignment w:val="auto"/>
        <w:outlineLvl w:val="9"/>
        <w:rPr>
          <w:rFonts w:hint="eastAsia" w:eastAsia="楷体_GB2312"/>
          <w:b/>
          <w:color w:val="000000"/>
          <w:sz w:val="32"/>
          <w:szCs w:val="32"/>
          <w:lang w:val="en-US" w:eastAsia="zh-CN"/>
        </w:rPr>
      </w:pPr>
      <w:r>
        <w:rPr>
          <w:rFonts w:hint="eastAsia" w:eastAsia="楷体_GB2312"/>
          <w:b/>
          <w:color w:val="000000"/>
          <w:sz w:val="32"/>
          <w:szCs w:val="32"/>
          <w:lang w:val="en-US" w:eastAsia="zh-CN"/>
        </w:rPr>
        <w:t>（二）对比2018年“三公”经费预算情况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rightChars="0"/>
        <w:jc w:val="left"/>
        <w:textAlignment w:val="auto"/>
        <w:outlineLvl w:val="9"/>
        <w:rPr>
          <w:rFonts w:hint="eastAsia" w:eastAsia="仿宋_GB2312"/>
          <w:sz w:val="32"/>
          <w:szCs w:val="32"/>
        </w:rPr>
      </w:pPr>
      <w:r>
        <w:rPr>
          <w:rFonts w:hint="eastAsia" w:ascii="仿宋_GB2312" w:hAnsi="仿宋_GB2312" w:eastAsia="仿宋_GB2312" w:cs="仿宋_GB2312"/>
          <w:color w:val="333333"/>
          <w:kern w:val="0"/>
          <w:sz w:val="32"/>
          <w:szCs w:val="32"/>
          <w:shd w:val="clear" w:color="auto" w:fill="FFFFFF"/>
          <w:lang w:val="en-US" w:eastAsia="zh-CN" w:bidi="ar"/>
        </w:rPr>
        <w:t xml:space="preserve"> </w:t>
      </w:r>
      <w:r>
        <w:rPr>
          <w:rFonts w:hint="eastAsia" w:eastAsia="仿宋_GB2312"/>
          <w:sz w:val="32"/>
          <w:szCs w:val="32"/>
          <w:lang w:val="en-US" w:eastAsia="zh-CN"/>
        </w:rPr>
        <w:t>2019年“三公”经费预算比2018年“三公”经费预算减少275.69万元，其具体原因为：1、认真贯彻落实中央关于厉行节约的要求，严格规范公务用车管理，实施公车改革制度，从而减少公务用车购置及运行维护经费预算安排。2、认真贯彻落实中央关于厉行节约的要求，严格控制公务接待标准及次数，从而减少公务接待支出费用。</w:t>
      </w:r>
    </w:p>
    <w:p>
      <w:pPr>
        <w:spacing w:line="580" w:lineRule="exact"/>
        <w:ind w:firstLine="640" w:firstLineChars="200"/>
        <w:rPr>
          <w:rFonts w:eastAsia="黑体"/>
          <w:color w:val="000000"/>
          <w:sz w:val="32"/>
          <w:szCs w:val="32"/>
        </w:rPr>
      </w:pPr>
      <w:r>
        <w:rPr>
          <w:rFonts w:hint="eastAsia" w:eastAsia="黑体"/>
          <w:color w:val="000000"/>
          <w:sz w:val="32"/>
          <w:szCs w:val="32"/>
          <w:lang w:eastAsia="zh-CN"/>
        </w:rPr>
        <w:t>四</w:t>
      </w:r>
      <w:r>
        <w:rPr>
          <w:rFonts w:eastAsia="黑体"/>
          <w:color w:val="000000"/>
          <w:sz w:val="32"/>
          <w:szCs w:val="32"/>
        </w:rPr>
        <w:t>、预算绩效管理工作开展情况</w:t>
      </w:r>
    </w:p>
    <w:p>
      <w:pPr>
        <w:ind w:firstLine="640" w:firstLineChars="200"/>
        <w:rPr>
          <w:rFonts w:hint="eastAsia" w:ascii="仿宋" w:hAnsi="仿宋" w:eastAsia="仿宋" w:cs="仿宋"/>
          <w:sz w:val="32"/>
          <w:szCs w:val="32"/>
          <w:lang w:val="en-US" w:eastAsia="zh-CN"/>
        </w:rPr>
      </w:pPr>
      <w:r>
        <w:rPr>
          <w:rFonts w:hint="eastAsia" w:eastAsia="仿宋_GB2312"/>
          <w:sz w:val="32"/>
          <w:szCs w:val="32"/>
          <w:lang w:eastAsia="zh-CN"/>
        </w:rPr>
        <w:t>（一）</w:t>
      </w:r>
      <w:r>
        <w:rPr>
          <w:rFonts w:hint="eastAsia" w:ascii="黑体" w:hAnsi="黑体" w:eastAsia="黑体" w:cs="黑体"/>
          <w:sz w:val="32"/>
          <w:szCs w:val="32"/>
          <w:lang w:val="en-US" w:eastAsia="zh-CN"/>
        </w:rPr>
        <w:t>、</w:t>
      </w:r>
      <w:r>
        <w:rPr>
          <w:rFonts w:hint="eastAsia" w:ascii="仿宋" w:hAnsi="仿宋" w:eastAsia="仿宋" w:cs="仿宋"/>
          <w:sz w:val="32"/>
          <w:szCs w:val="32"/>
          <w:lang w:val="en-US" w:eastAsia="zh-CN"/>
        </w:rPr>
        <w:t>2018年开展的主要工作及成效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1.制定了《2018年预算绩效管理工作实施方案》（鹤财绩[2018]26号），实施方案主要内容：</w:t>
      </w:r>
      <w:r>
        <w:rPr>
          <w:rFonts w:hint="eastAsia" w:ascii="仿宋" w:hAnsi="仿宋" w:eastAsia="仿宋" w:cs="仿宋"/>
          <w:sz w:val="32"/>
          <w:szCs w:val="32"/>
          <w:lang w:val="en-US" w:eastAsia="zh-CN"/>
        </w:rPr>
        <w:sym w:font="Wingdings" w:char="F081"/>
      </w:r>
      <w:r>
        <w:rPr>
          <w:rFonts w:hint="eastAsia" w:ascii="仿宋" w:hAnsi="仿宋" w:eastAsia="仿宋" w:cs="仿宋"/>
          <w:sz w:val="32"/>
          <w:szCs w:val="32"/>
          <w:lang w:val="en-US" w:eastAsia="zh-CN"/>
        </w:rPr>
        <w:t>实施范围包括所有财政性资金；</w:t>
      </w:r>
      <w:r>
        <w:rPr>
          <w:rFonts w:hint="eastAsia" w:ascii="仿宋" w:hAnsi="仿宋" w:eastAsia="仿宋" w:cs="仿宋"/>
          <w:sz w:val="32"/>
          <w:szCs w:val="32"/>
          <w:lang w:val="en-US" w:eastAsia="zh-CN"/>
        </w:rPr>
        <w:sym w:font="Wingdings" w:char="F082"/>
      </w:r>
      <w:r>
        <w:rPr>
          <w:rFonts w:hint="eastAsia" w:ascii="仿宋" w:hAnsi="仿宋" w:eastAsia="仿宋" w:cs="仿宋"/>
          <w:sz w:val="32"/>
          <w:szCs w:val="32"/>
          <w:lang w:val="en-US" w:eastAsia="zh-CN"/>
        </w:rPr>
        <w:t>工作内容包括绩效目标管理、绩效监控管理、绩效评价管理、绩效评价结果应用；</w:t>
      </w:r>
      <w:r>
        <w:rPr>
          <w:rFonts w:hint="eastAsia" w:ascii="仿宋" w:hAnsi="仿宋" w:eastAsia="仿宋" w:cs="仿宋"/>
          <w:sz w:val="32"/>
          <w:szCs w:val="32"/>
          <w:lang w:val="en-US" w:eastAsia="zh-CN"/>
        </w:rPr>
        <w:sym w:font="Wingdings" w:char="F083"/>
      </w:r>
      <w:r>
        <w:rPr>
          <w:rFonts w:hint="eastAsia" w:ascii="仿宋" w:hAnsi="仿宋" w:eastAsia="仿宋" w:cs="仿宋"/>
          <w:sz w:val="32"/>
          <w:szCs w:val="32"/>
          <w:lang w:val="en-US" w:eastAsia="zh-CN"/>
        </w:rPr>
        <w:t>加强组织领导，完善绩效管理评价制度等保障措施。</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了对2018年预算绩效目标申报工作的管理力度，绩效目标申报实现了全覆盖。2017年10月下发了《怀化市鹤城区财政局关于报送2018年财政预算绩效目标的通知》（鹤财绩[2017]57号），通知要求列入2018年区本级财政预算安排的所有项目支出（专项资金）均应按要求编制和报送绩效目标。2018年全区编制和报送专项绩效目标588个，报送金额15.3亿，86个预算单位编报了部门整体支出绩效目标表，并在政府网公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了绩效监控管理工作，并以文件形式建立了绩效监控制度。2018年4月下发了《怀化市鹤城区财政局关于开展2018年度财政支出预算绩效运行跟踪监控工作的通知》（鹤财绩[2018]27号），通知要求纳入2018年度预算绩效目标管理的所有财政性支出均为跟踪监控范围。2018年对贫困幼儿入园补助配套、公路养护、背街小巷环卫保洁、贫困村太阳能路灯、危改项目、贫困村农村安全饮水、美丽乡村路灯建设等项目进行了绩效运行跟踪管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积极开展了2017年度部门整体支出及专项资金绩效自评工作，绩效评价范围实现了全覆盖。2018年3月下发了《怀化市鹤城区财政局关于开展2017年度财政支出绩效评价工作的通知》（鹤财绩[2018]14号）、《怀化市鹤城区财政局关于开展2017年度区级部门整体支出绩效评价工作的通知》（鹤财绩[2018]15号）。2018年，全区70个专项资金报送了绩效自评报告，86个预算单位编报了部门整体支出绩效自评报告，并在政府网公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根据各级财政部门的要求，我局委托恒信弘正会计师事务所成立了绩效评价工作组，于2018年9月至10月对2017年度城乡居民养老保险、基本公共卫生服务项目、贫困幼儿入园补助配套、公路养护、电商扶贫项目、贫困村太阳能路灯、贫困村安全饮水、贫困村村级卫生室等12个重点民生项目开展重点绩效评价。</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加强了评价结果在部门预算安排中的应用。2018年对重点评价的项目在绩效情况、完成程度和存在的问题与建议等方面加以综合分析，各项目绩效评价综合得分90分以上的5个，得分80分以上的7个，评价结果优秀的建议财政部门在安排后续资金时给予优先考虑，评价结果不合格的提出了整改意见并要求及时整改并将落实整改情况反馈区财政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（二）2019年工作重点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1.跟进创新不断完善绩效目标管理机制，引入第三方机构集中开展审核，重点对项目设置的必要性、实施计划的可行性、绩效目标的明确性、绩效指标值与预算申请的匹配性等方面进行严格评审；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2.提高财政支出绩效评价质量，建立健全绩效评价第三方机构库、专家库、指标体系库，充分利用智库的有效支撑，进一步提高评价结果的专业性、客观性、公正性；</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3.强化评价结果应用，科学运用评价结果着力实现以评促管，进一步落实评价结果反馈、通报、激励和监督机制，使决策层进一步了解项目的实施进展、资金使用和社会经济效益情况，为财政分配资金提供依据；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4.强化绩效理念，纵深推进绩效评价管理基础工作，加大宣传力度，普及绩效理念，通过组织培训、刊发文章等多种形式，提高相关人员对绩效管理工作的认知水平和操作能力。</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B793C"/>
    <w:multiLevelType w:val="singleLevel"/>
    <w:tmpl w:val="470B793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4502B"/>
    <w:rsid w:val="04A96DED"/>
    <w:rsid w:val="0E2C11A9"/>
    <w:rsid w:val="15550328"/>
    <w:rsid w:val="19043373"/>
    <w:rsid w:val="20900348"/>
    <w:rsid w:val="22D02EE6"/>
    <w:rsid w:val="255E0099"/>
    <w:rsid w:val="29363E61"/>
    <w:rsid w:val="2A272ACA"/>
    <w:rsid w:val="2CD46887"/>
    <w:rsid w:val="3A8D7B81"/>
    <w:rsid w:val="3C2D6D1F"/>
    <w:rsid w:val="3DF75797"/>
    <w:rsid w:val="40B87987"/>
    <w:rsid w:val="43D61D93"/>
    <w:rsid w:val="5CFF6461"/>
    <w:rsid w:val="63A411AC"/>
    <w:rsid w:val="68147414"/>
    <w:rsid w:val="6E2F6265"/>
    <w:rsid w:val="7214502B"/>
    <w:rsid w:val="75345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2021-06-02T03:12:00Z</dcterms:created>
  <dc:creator>lmy</dc:creator>
  <cp:lastModifiedBy>lmy</cp:lastModifiedBy>
  <dcterms:modified xsi:type="dcterms:W3CDTF">2021-06-18T00:28:45Z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E356031F08964B619D3BC7B4ED85ACDA</vt:lpwstr>
  </property>
</Properties>
</file>