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both"/>
        <w:textAlignment w:val="auto"/>
        <w:outlineLvl w:val="9"/>
        <w:rPr>
          <w:rFonts w:hint="eastAsia"/>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both"/>
        <w:textAlignment w:val="auto"/>
        <w:outlineLvl w:val="9"/>
        <w:rPr>
          <w:rFonts w:hint="eastAsia"/>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both"/>
        <w:textAlignment w:val="auto"/>
        <w:outlineLvl w:val="9"/>
        <w:rPr>
          <w:rFonts w:hint="eastAsia"/>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1920" w:firstLineChars="800"/>
        <w:jc w:val="both"/>
        <w:textAlignment w:val="auto"/>
        <w:outlineLvl w:val="9"/>
        <w:rPr>
          <w:rFonts w:hint="eastAsia"/>
          <w:b w:val="0"/>
          <w:bCs w:val="0"/>
          <w:sz w:val="28"/>
          <w:szCs w:val="28"/>
          <w:lang w:val="en-US" w:eastAsia="zh-CN"/>
        </w:rPr>
      </w:pPr>
      <w:r>
        <w:rPr>
          <w:rFonts w:hint="eastAsia"/>
          <w:b w:val="0"/>
          <w:bCs w:val="0"/>
          <w:sz w:val="24"/>
          <w:szCs w:val="24"/>
          <w:lang w:val="en-US" w:eastAsia="zh-CN"/>
        </w:rPr>
        <w:t>　</w:t>
      </w:r>
    </w:p>
    <w:p>
      <w:pPr>
        <w:keepNext w:val="0"/>
        <w:keepLines w:val="0"/>
        <w:pageBreakBefore w:val="0"/>
        <w:widowControl w:val="0"/>
        <w:kinsoku/>
        <w:wordWrap/>
        <w:overflowPunct/>
        <w:topLinePunct w:val="0"/>
        <w:autoSpaceDE/>
        <w:autoSpaceDN/>
        <w:bidi w:val="0"/>
        <w:adjustRightInd/>
        <w:snapToGrid/>
        <w:spacing w:line="100" w:lineRule="exact"/>
        <w:ind w:left="0" w:leftChars="0" w:right="0" w:rightChars="0" w:firstLine="0" w:firstLineChars="0"/>
        <w:jc w:val="both"/>
        <w:textAlignment w:val="auto"/>
        <w:outlineLvl w:val="9"/>
        <w:rPr>
          <w:rFonts w:hint="eastAsia"/>
          <w:b/>
          <w:bCs/>
          <w:sz w:val="44"/>
          <w:szCs w:val="44"/>
          <w:lang w:val="en-US" w:eastAsia="zh-CN"/>
        </w:rPr>
      </w:pPr>
    </w:p>
    <w:p>
      <w:pPr>
        <w:ind w:left="2685" w:leftChars="418" w:hanging="1807" w:hangingChars="50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eastAsia="zh-CN"/>
        </w:rPr>
        <w:t>鹤城区</w:t>
      </w:r>
      <w:r>
        <w:rPr>
          <w:rFonts w:hint="eastAsia" w:ascii="仿宋" w:hAnsi="仿宋" w:eastAsia="仿宋" w:cs="仿宋"/>
          <w:b/>
          <w:bCs/>
          <w:sz w:val="36"/>
          <w:szCs w:val="36"/>
          <w:lang w:val="en-US" w:eastAsia="zh-CN"/>
        </w:rPr>
        <w:t>2017年电商扶贫项目专项资金</w:t>
      </w:r>
    </w:p>
    <w:p>
      <w:pPr>
        <w:ind w:left="2685" w:leftChars="418" w:hanging="1807" w:hangingChars="50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绩效评价报告</w:t>
      </w:r>
    </w:p>
    <w:p>
      <w:pPr>
        <w:rPr>
          <w:rFonts w:hint="eastAsia"/>
          <w:lang w:val="en-US" w:eastAsia="zh-CN"/>
        </w:rPr>
      </w:pPr>
    </w:p>
    <w:p>
      <w:pPr>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sz w:val="28"/>
          <w:szCs w:val="28"/>
          <w:lang w:val="en-US" w:eastAsia="zh-CN"/>
        </w:rPr>
        <w:t>根据怀化市鹤城区财政局《关于委托会计师事务所开展财政专项资金绩效评价的函》（鹤财绩函[2018]16号）及《怀化市鹤城区财政局关于开展2017年度财政支出绩效评价工作的通知》（鹤财绩[2018]14号）等文件要求，受鹤城区财政局委托，恒信弘正会计师事务所有限责任公司怀化分所对鹤城区（2017年度）电商扶贫项目专项资金实施了绩效评价，根据评价结果，形成本评价报告。</w:t>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（一）项目基本情况</w:t>
      </w:r>
    </w:p>
    <w:p>
      <w:pPr>
        <w:ind w:firstLine="6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截止2017年10月财政拨付电商扶贫项目专项资金112万元，实际拨付率为100％。其中农产品品牌培育30万元、电商平台奖补30万元、村级电商服务站22万元、贫困户示范网店10万元、电商培训20万元。电商扶贫项目实际支出117.27万元，超出项目投入资金5.27万元。其中农产品品牌培育支出32万元、电商平台奖补支出28万元、</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村级电商服务站支出21.83万元、贫困户示范网店支出10万元、电商培训支出25.44万元。</w:t>
      </w:r>
    </w:p>
    <w:p>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二、绩效评价情况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鹤城区财政局2018年3月下发《怀化市鹤城区财政局关于开展2017年度财政支出绩效评价工作的通知》鹤财绩</w:t>
      </w:r>
      <w:r>
        <w:rPr>
          <w:rFonts w:hint="eastAsia"/>
          <w:sz w:val="28"/>
          <w:szCs w:val="28"/>
          <w:lang w:val="en-US" w:eastAsia="zh-CN"/>
        </w:rPr>
        <w:t>[2018]14号和9月下发《怀化市鹤城区财政局关于委托会计师事务所开展财政专项资金绩效评价的函》</w:t>
      </w:r>
      <w:r>
        <w:rPr>
          <w:rFonts w:hint="eastAsia" w:ascii="宋体" w:hAnsi="宋体" w:eastAsia="宋体" w:cs="宋体"/>
          <w:sz w:val="28"/>
          <w:szCs w:val="28"/>
          <w:lang w:val="en-US" w:eastAsia="zh-CN"/>
        </w:rPr>
        <w:t>鹤财绩函</w:t>
      </w:r>
      <w:r>
        <w:rPr>
          <w:rFonts w:hint="eastAsia"/>
          <w:sz w:val="28"/>
          <w:szCs w:val="28"/>
          <w:lang w:val="en-US" w:eastAsia="zh-CN"/>
        </w:rPr>
        <w:t>[2018]16号</w:t>
      </w:r>
      <w:r>
        <w:rPr>
          <w:rFonts w:hint="eastAsia" w:ascii="宋体" w:hAnsi="宋体" w:eastAsia="宋体" w:cs="宋体"/>
          <w:sz w:val="28"/>
          <w:szCs w:val="28"/>
          <w:lang w:val="en-US" w:eastAsia="zh-CN"/>
        </w:rPr>
        <w:t>，文件提出，预算单位自评，聘请社会第三方中介机构现场评价等工作要求。恒信弘正会计师事务所有限责任公司怀化分所绩效评价工作组于9月至10月对项目资金实施现场评价。现场评价抽查情</w:t>
      </w:r>
      <w:r>
        <w:rPr>
          <w:rFonts w:hint="eastAsia" w:ascii="宋体" w:hAnsi="宋体" w:eastAsia="宋体" w:cs="宋体"/>
          <w:color w:val="auto"/>
          <w:sz w:val="28"/>
          <w:szCs w:val="28"/>
          <w:lang w:val="en-US" w:eastAsia="zh-CN"/>
        </w:rPr>
        <w:t>况如下：鹤城区黄金坳镇张家村电子商务服务站、鹤城区黄金坳镇远垄村电子商务服务站和</w:t>
      </w:r>
      <w:r>
        <w:rPr>
          <w:rFonts w:hint="eastAsia" w:ascii="宋体" w:hAnsi="宋体" w:eastAsia="宋体" w:cs="宋体"/>
          <w:color w:val="auto"/>
          <w:sz w:val="28"/>
          <w:szCs w:val="28"/>
          <w:highlight w:val="none"/>
          <w:lang w:val="en-US" w:eastAsia="zh-CN"/>
        </w:rPr>
        <w:t>怀化容创电子商务服务部都受同样的环境因素所影响：所在地偏远、地多人少、农产品规模小，质量无法保证；怀化市凉亭坳乡农兴生态养殖农民农业合作社是怀化市残疾人扶贫示范基地，共有52名残疾员工。合作社给他们提供工作岗位，保障基本的生活条件。目前正在筹备种植果树预计后年可达到畜林结合；怀化第五元素网络信息有限公司是我区“鹤城特农”项目的平台建设主体，很大程度上提高了买卖的效率，带动了经济的发展。并且带动了一批创业者，但是带动农民脱贫还需要一个很长的过程。</w:t>
      </w:r>
    </w:p>
    <w:p>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三、项目主要绩效</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（一）形成独有的模式，慢慢走向规范化</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围绕鹤城区区重点行业和特色产业，不断加大对知名第三方电子商务平台的招商力度，积极鼓励中小企业、农民专业合作社等利用淘</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宝网、怀化购、佳惠全球购等第三方平台开展线上交易，支持企业在第三方电子平台开辟产品专区集中展示、宣传和推广，支持企业建设具有地方特色的电子商务自营平台，支持有条件的大型龙头企业电子商务平台向行业平台转化，积极培育电商综合平台、专业平台和公共服务，进一步壮大了电子商务发展载体，提高了电子商务应用水平。截止目前，全区共发展电子商务平台23家，其中第三方电子商务平台11家，自营平台7家，商贸物流电子平台5家。</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（二）打造“鹤城特农”，带动本区经济发展，宣传本区特产</w:t>
      </w:r>
    </w:p>
    <w:p>
      <w:pPr>
        <w:keepNext w:val="0"/>
        <w:keepLines w:val="0"/>
        <w:pageBreakBefore w:val="0"/>
        <w:widowControl w:val="0"/>
        <w:tabs>
          <w:tab w:val="left" w:pos="840"/>
        </w:tabs>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2017年根据区委、区政府统一安排，计划将“鹤城特农”项目打造为我区农产品扶贫公共服务平台。目前，“鹤城特农”项目由怀化第五元素网络信息有限公司作为平台建设主体、佳惠电商作为运营主体共同实施，营销分线上、线下两种模式，主要销售康源农业合作社和建果农业合作社的山鸡和土鸡蛋、侗湘黑猪肉、腾升茶油、凉亭坳五倍子蜂蜜、仇家香菇等15个系列农产品（即采取“鹤城特农”品牌统一包装），黄金坳猕猴桃、黄岩高山葡萄、黄桃、白辣椒、卢坪蔬菜等39个单品农产品。线上销售于9月1日正式营业，至今完成销售额10多万元，主要销往长沙、上海等地；线下销售于8月18日正式营业，至今完成销售额50多万元。</w:t>
      </w:r>
    </w:p>
    <w:p>
      <w:pPr>
        <w:keepNext w:val="0"/>
        <w:keepLines w:val="0"/>
        <w:pageBreakBefore w:val="0"/>
        <w:widowControl w:val="0"/>
        <w:tabs>
          <w:tab w:val="left" w:pos="840"/>
        </w:tabs>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大力发展农产品网络营销和订单农业，极大地提升特色农产品电子商务应用水平，进一步拓展了全区特色农产品的销售渠道。也在很大程度上带动了发展，提高了买卖的效率。</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（三）政府支持，氛围浓厚，培育人才</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ind w:leftChars="0"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政府的支持下，切实加强电子商务人才建设，以培养电子商务技能型人才为重点，进一步加强对乡镇领导干部、个体工商户、农民专业合作社、种养大户、青年创业者、贫困户创业者和未就业大学生等的电子商务基础知识和实际操作培训力度。2017年全区累计举办各类电子商务培训班15期，培训人员达700人。围绕电商精准扶贫工作任务，通过各种培训，基本建立了一支能够熟练运用网络科技促销我区特色农产品的电子商务人才队伍。同时，强化舆论宣传，充分利用大型门户网站、微博、微信等网络媒体及报纸等媒体大力宣传我区特色农产品，宣传我区加快发展电子商务的各项政策措施，进一步提升了我区特色农产品的知名度和影响力，为推动电子商务发展营造了良好的氛围。</w:t>
      </w:r>
    </w:p>
    <w:p>
      <w:pPr>
        <w:numPr>
          <w:ilvl w:val="0"/>
          <w:numId w:val="0"/>
        </w:numPr>
        <w:ind w:firstLine="6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根据怀化市鹤城区财政局2017年度绩效评价指标进行绩效评分，得分87分，财政支出绩效评价等级为“良好”。</w:t>
      </w:r>
    </w:p>
    <w:p>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存在的主要问题</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（一）缺乏劳动力，地多人少</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由于电商扶贫大多都是在农村建站，尤其是交通落后的边缘贫困农村，更是经济发展迟缓，农民收入微薄，导致农村劳动力大量外流，远走他乡或进城谋生。使农村出现了很多空心村，良田无人耕耘，山地无人管理，成片的良田山地荒芜，直接影响了农业生产的发展，是一个值得社会广泛关注的农村问题。这将直接影响村镇（乡）布局规划成果的全面实施，影响电商扶贫的推进。</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（二）达不到“标准化、规模化的生产经营”</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村民</w:t>
      </w:r>
      <w:r>
        <w:rPr>
          <w:rFonts w:hint="eastAsia" w:ascii="宋体" w:hAnsi="宋体" w:eastAsia="宋体" w:cs="宋体"/>
          <w:sz w:val="28"/>
          <w:szCs w:val="28"/>
          <w:lang w:val="en-US" w:eastAsia="zh-CN"/>
        </w:rPr>
        <w:t>技术有限，当地特色产品推广不足。电子商务推动精准扶贫，就是推进电商与农村、农业、农民相结合，把电商与农产品市场相结合，达到优势互补的效果，但在电商充分融入农产品的生产、加工和销售的过程中，也存在着各种制约瓶颈。很多</w:t>
      </w:r>
      <w:r>
        <w:rPr>
          <w:rFonts w:hint="eastAsia" w:ascii="宋体" w:hAnsi="宋体" w:eastAsia="宋体" w:cs="宋体"/>
          <w:b w:val="0"/>
          <w:bCs w:val="0"/>
          <w:sz w:val="28"/>
          <w:szCs w:val="28"/>
          <w:lang w:val="en-US" w:eastAsia="zh-CN"/>
        </w:rPr>
        <w:t>村民</w:t>
      </w:r>
      <w:r>
        <w:rPr>
          <w:rFonts w:hint="eastAsia" w:ascii="宋体" w:hAnsi="宋体" w:eastAsia="宋体" w:cs="宋体"/>
          <w:sz w:val="28"/>
          <w:szCs w:val="28"/>
          <w:lang w:val="en-US" w:eastAsia="zh-CN"/>
        </w:rPr>
        <w:t>身处偏远地区，文化程度相对较低，接受的信息有限，生产技术无法达到现代化要求，再加上</w:t>
      </w:r>
      <w:r>
        <w:rPr>
          <w:rFonts w:hint="eastAsia" w:ascii="宋体" w:hAnsi="宋体" w:eastAsia="宋体" w:cs="宋体"/>
          <w:b w:val="0"/>
          <w:bCs w:val="0"/>
          <w:sz w:val="28"/>
          <w:szCs w:val="28"/>
          <w:lang w:val="en-US" w:eastAsia="zh-CN"/>
        </w:rPr>
        <w:t>村民</w:t>
      </w:r>
      <w:r>
        <w:rPr>
          <w:rFonts w:hint="eastAsia" w:ascii="宋体" w:hAnsi="宋体" w:eastAsia="宋体" w:cs="宋体"/>
          <w:sz w:val="28"/>
          <w:szCs w:val="28"/>
          <w:lang w:val="en-US" w:eastAsia="zh-CN"/>
        </w:rPr>
        <w:t>基本上都是分散种植，属于小规模经营，很难实现标准化、规模化的生产经营，导致各</w:t>
      </w:r>
      <w:r>
        <w:rPr>
          <w:rFonts w:hint="eastAsia" w:ascii="宋体" w:hAnsi="宋体" w:eastAsia="宋体" w:cs="宋体"/>
          <w:b w:val="0"/>
          <w:bCs w:val="0"/>
          <w:sz w:val="28"/>
          <w:szCs w:val="28"/>
          <w:lang w:val="en-US" w:eastAsia="zh-CN"/>
        </w:rPr>
        <w:t>村民</w:t>
      </w:r>
      <w:r>
        <w:rPr>
          <w:rFonts w:hint="eastAsia" w:ascii="宋体" w:hAnsi="宋体" w:eastAsia="宋体" w:cs="宋体"/>
          <w:sz w:val="28"/>
          <w:szCs w:val="28"/>
          <w:lang w:val="en-US" w:eastAsia="zh-CN"/>
        </w:rPr>
        <w:t>生产出来的产品种类不一，质量也参差不齐，满足不了市场的需求，因此无法与外部市场形成长期的合作关系。</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（三）电商应用人才缺乏。</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贫困地区的脱贫和农村电商扶贫的推动，都需要农业电商网络人才资源。但农村贫困地区经济发展水平比较低，</w:t>
      </w:r>
      <w:r>
        <w:rPr>
          <w:rFonts w:hint="eastAsia" w:ascii="宋体" w:hAnsi="宋体" w:eastAsia="宋体" w:cs="宋体"/>
          <w:b w:val="0"/>
          <w:bCs w:val="0"/>
          <w:sz w:val="28"/>
          <w:szCs w:val="28"/>
          <w:lang w:val="en-US" w:eastAsia="zh-CN"/>
        </w:rPr>
        <w:t>村民</w:t>
      </w:r>
      <w:r>
        <w:rPr>
          <w:rFonts w:hint="eastAsia" w:ascii="宋体" w:hAnsi="宋体" w:eastAsia="宋体" w:cs="宋体"/>
          <w:sz w:val="28"/>
          <w:szCs w:val="28"/>
          <w:lang w:val="en-US" w:eastAsia="zh-CN"/>
        </w:rPr>
        <w:t>对电商的观念、意识落后，缺乏网络基本知识和使用技术，有的对新技术持怀疑态度，对“看得见但是摸不着”的电子商务缺乏信任。贫困地区农村普遍缺乏科研人员、实际操作技术人员及农村领导者、指挥者和创业人员，而懂得电子商务技术和营销战略的，他们更多的选择在城市立足和发展，大多不愿回到农村来艰苦创业，这使农村电子商务人才十分缺乏，严重影响了农村电商的发展和农产品的销售。</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（四）预算执行存在偏差</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2017年度实际公用经费支出高于预算5.27万，说明预算编制与实际情况存在偏差，公用经费的控制和核算还有待进一步加强。</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五、相关建议</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（一）培养农村电子商务人才</w:t>
      </w:r>
      <w:r>
        <w:rPr>
          <w:rFonts w:hint="eastAsia" w:ascii="宋体" w:hAnsi="宋体" w:eastAsia="宋体" w:cs="宋体"/>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是加强农村电子商务知识普及。加强农村教育力度，让更多的村民能够掌握计算机的基本操作，熟悉电子商务的使用和前景，充分调动村民对电子商务的热情；乡镇政府部门应制定激励政策，鼓励大学生返乡或具有电子商务知识的人员，对村民进行培训，使村民能够基本了解电子商务的知识以及可以运用，从而为村民经营电子商务网站奠定基础。</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是乡镇政府部门应引入水平高且能让村民们一听就懂的电商培训机构，同时也对培训对象进行一些甄选，对其中一些素质相对好，文化水平相对高的村民进行重点培训，充分发挥他们在这方面的才能，调动他们的积极性，鼓励他们成为农村电子商务发展的先锋，进而引导更多的村民了解电子商务的使用。</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（二）推广经验，鼓励投资</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积极开展电子商务扶贫试验区，总结并推广成功经验。鼓励试验区、试点单位公司及其他投资商的大力投资，发展和研究电子商务，并对试验区给予优惠政策。</w:t>
      </w:r>
    </w:p>
    <w:p>
      <w:pPr>
        <w:keepNext w:val="0"/>
        <w:keepLines w:val="0"/>
        <w:pageBreakBefore w:val="0"/>
        <w:widowControl w:val="0"/>
        <w:numPr>
          <w:ilvl w:val="0"/>
          <w:numId w:val="2"/>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推动农村特色产品产业化</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针对不同地域、不同特点的农产品，应该由政府出面进行引导，扬长避短，突出特色，再通过区域合作，扩大产业链等形式，使特色产品形成规模化生产，独立化包装，打响自己的品牌。</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（四）建议政府进一步拓展筹资渠道，积极筹措资金，加大对“电商扶贫”专项资金的投入。</w:t>
      </w:r>
    </w:p>
    <w:p>
      <w:pPr>
        <w:numPr>
          <w:ilvl w:val="0"/>
          <w:numId w:val="0"/>
        </w:numPr>
        <w:ind w:firstLine="600"/>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附件：1、鹤城区2017年度电商扶贫专项资金绩效评价指标表</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numPr>
          <w:ilvl w:val="0"/>
          <w:numId w:val="0"/>
        </w:numPr>
        <w:ind w:firstLine="600"/>
        <w:rPr>
          <w:rFonts w:hint="eastAsia" w:ascii="宋体" w:hAnsi="宋体" w:eastAsia="宋体" w:cs="宋体"/>
          <w:sz w:val="28"/>
          <w:szCs w:val="28"/>
          <w:lang w:val="en-US" w:eastAsia="zh-CN"/>
        </w:rPr>
      </w:pPr>
    </w:p>
    <w:p>
      <w:pPr>
        <w:numPr>
          <w:ilvl w:val="0"/>
          <w:numId w:val="0"/>
        </w:numPr>
        <w:ind w:firstLine="600"/>
        <w:rPr>
          <w:rFonts w:hint="eastAsia" w:ascii="宋体" w:hAnsi="宋体" w:eastAsia="宋体" w:cs="宋体"/>
          <w:sz w:val="28"/>
          <w:szCs w:val="28"/>
          <w:lang w:val="en-US" w:eastAsia="zh-CN"/>
        </w:rPr>
      </w:pPr>
    </w:p>
    <w:p>
      <w:pPr>
        <w:numPr>
          <w:ilvl w:val="0"/>
          <w:numId w:val="0"/>
        </w:numPr>
        <w:ind w:firstLine="600"/>
        <w:rPr>
          <w:rFonts w:hint="eastAsia" w:ascii="宋体" w:hAnsi="宋体" w:eastAsia="宋体" w:cs="宋体"/>
          <w:sz w:val="28"/>
          <w:szCs w:val="28"/>
          <w:lang w:val="en-US" w:eastAsia="zh-CN"/>
        </w:rPr>
      </w:pPr>
      <w:bookmarkStart w:id="0" w:name="_GoBack"/>
      <w:bookmarkEnd w:id="0"/>
    </w:p>
    <w:p>
      <w:pPr>
        <w:numPr>
          <w:ilvl w:val="0"/>
          <w:numId w:val="0"/>
        </w:numPr>
        <w:ind w:firstLine="600"/>
        <w:rPr>
          <w:rFonts w:hint="eastAsia" w:ascii="宋体" w:hAnsi="宋体" w:eastAsia="宋体" w:cs="宋体"/>
          <w:sz w:val="28"/>
          <w:szCs w:val="28"/>
          <w:lang w:val="en-US" w:eastAsia="zh-CN"/>
        </w:rPr>
      </w:pPr>
    </w:p>
    <w:p>
      <w:pPr>
        <w:numPr>
          <w:ilvl w:val="0"/>
          <w:numId w:val="0"/>
        </w:numPr>
        <w:ind w:firstLine="600"/>
        <w:rPr>
          <w:rFonts w:hint="eastAsia" w:ascii="宋体" w:hAnsi="宋体" w:eastAsia="宋体" w:cs="宋体"/>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outlineLvl w:val="9"/>
        <w:rPr>
          <w:rFonts w:hint="eastAsia" w:ascii="宋体" w:hAnsi="宋体" w:cs="宋体"/>
          <w:color w:val="000000"/>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outlineLvl w:val="9"/>
        <w:rPr>
          <w:rFonts w:hint="eastAsia" w:ascii="宋体" w:hAnsi="宋体" w:cs="宋体"/>
          <w:color w:val="000000"/>
          <w:kern w:val="0"/>
          <w:sz w:val="28"/>
          <w:szCs w:val="28"/>
          <w:lang w:eastAsia="zh-CN"/>
        </w:rPr>
      </w:pPr>
      <w:r>
        <w:rPr>
          <w:rFonts w:hint="eastAsia" w:ascii="宋体" w:hAnsi="宋体" w:cs="宋体"/>
          <w:color w:val="000000"/>
          <w:kern w:val="0"/>
          <w:sz w:val="28"/>
          <w:szCs w:val="28"/>
          <w:lang w:eastAsia="zh-CN"/>
        </w:rPr>
        <w:t>恒信弘正会计师事务所有限责任公司怀化分所</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outlineLvl w:val="9"/>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ind w:firstLine="1400" w:firstLineChars="500"/>
        <w:jc w:val="left"/>
        <w:textAlignment w:val="auto"/>
        <w:outlineLvl w:val="9"/>
        <w:rPr>
          <w:rFonts w:hint="eastAsia" w:ascii="宋体" w:hAnsi="宋体" w:eastAsia="宋体" w:cs="宋体"/>
          <w:color w:val="000000"/>
          <w:kern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中国</w:t>
      </w:r>
      <w:r>
        <w:rPr>
          <w:rFonts w:hint="eastAsia" w:ascii="宋体" w:hAnsi="宋体" w:eastAsia="宋体" w:cs="宋体"/>
          <w:b w:val="0"/>
          <w:bCs w:val="0"/>
          <w:sz w:val="28"/>
          <w:szCs w:val="28"/>
          <w:lang w:val="en-US" w:eastAsia="zh-CN"/>
        </w:rPr>
        <w:t>•</w:t>
      </w:r>
      <w:r>
        <w:rPr>
          <w:rFonts w:hint="eastAsia" w:asciiTheme="minorEastAsia" w:hAnsiTheme="minorEastAsia" w:eastAsiaTheme="minorEastAsia" w:cstheme="minorEastAsia"/>
          <w:b w:val="0"/>
          <w:bCs w:val="0"/>
          <w:sz w:val="28"/>
          <w:szCs w:val="28"/>
          <w:lang w:val="en-US" w:eastAsia="zh-CN"/>
        </w:rPr>
        <w:t xml:space="preserve">怀化                    </w:t>
      </w:r>
      <w:r>
        <w:rPr>
          <w:rFonts w:hint="eastAsia" w:ascii="宋体" w:hAnsi="宋体" w:cs="宋体"/>
          <w:color w:val="000000"/>
          <w:kern w:val="0"/>
          <w:sz w:val="28"/>
          <w:szCs w:val="28"/>
          <w:lang w:val="en-US" w:eastAsia="zh-CN"/>
        </w:rPr>
        <w:t>中国注册会计师：</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ind w:leftChars="0" w:firstLine="280" w:firstLineChars="100"/>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                                     中国注册会计师：</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二0一八年十月二十五日</w:t>
      </w:r>
    </w:p>
    <w:p>
      <w:pPr>
        <w:numPr>
          <w:ilvl w:val="0"/>
          <w:numId w:val="0"/>
        </w:numPr>
        <w:ind w:firstLine="5320" w:firstLineChars="1900"/>
        <w:rPr>
          <w:rFonts w:hint="eastAsia" w:ascii="宋体" w:hAnsi="宋体" w:eastAsia="宋体" w:cs="宋体"/>
          <w:sz w:val="28"/>
          <w:szCs w:val="28"/>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3DAD8"/>
    <w:multiLevelType w:val="singleLevel"/>
    <w:tmpl w:val="59F3DAD8"/>
    <w:lvl w:ilvl="0" w:tentative="0">
      <w:start w:val="4"/>
      <w:numFmt w:val="chineseCounting"/>
      <w:suff w:val="nothing"/>
      <w:lvlText w:val="%1、"/>
      <w:lvlJc w:val="left"/>
    </w:lvl>
  </w:abstractNum>
  <w:abstractNum w:abstractNumId="1">
    <w:nsid w:val="7B57AC29"/>
    <w:multiLevelType w:val="singleLevel"/>
    <w:tmpl w:val="7B57AC2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075CB"/>
    <w:rsid w:val="001450D5"/>
    <w:rsid w:val="002A0027"/>
    <w:rsid w:val="011C2C72"/>
    <w:rsid w:val="0124688B"/>
    <w:rsid w:val="01A058F0"/>
    <w:rsid w:val="01ED444C"/>
    <w:rsid w:val="02521035"/>
    <w:rsid w:val="02BA6620"/>
    <w:rsid w:val="03394E7E"/>
    <w:rsid w:val="03712169"/>
    <w:rsid w:val="04054F8C"/>
    <w:rsid w:val="069340BF"/>
    <w:rsid w:val="06B500C6"/>
    <w:rsid w:val="080C0486"/>
    <w:rsid w:val="0A2D0EAD"/>
    <w:rsid w:val="0B3C1C72"/>
    <w:rsid w:val="0C2311EC"/>
    <w:rsid w:val="0D835E30"/>
    <w:rsid w:val="0E2D6704"/>
    <w:rsid w:val="0F032758"/>
    <w:rsid w:val="100075CB"/>
    <w:rsid w:val="1264200C"/>
    <w:rsid w:val="129B1FE2"/>
    <w:rsid w:val="13164146"/>
    <w:rsid w:val="154970A1"/>
    <w:rsid w:val="17D570B1"/>
    <w:rsid w:val="17FD408A"/>
    <w:rsid w:val="18272416"/>
    <w:rsid w:val="18A02529"/>
    <w:rsid w:val="19940B90"/>
    <w:rsid w:val="1A042EEF"/>
    <w:rsid w:val="1A2D3C28"/>
    <w:rsid w:val="1A315A54"/>
    <w:rsid w:val="1ECE6E5D"/>
    <w:rsid w:val="25F22A51"/>
    <w:rsid w:val="26556F18"/>
    <w:rsid w:val="272B59AA"/>
    <w:rsid w:val="2B1F78A0"/>
    <w:rsid w:val="2C5B6F79"/>
    <w:rsid w:val="2DB808BE"/>
    <w:rsid w:val="2F5718B0"/>
    <w:rsid w:val="30EC6856"/>
    <w:rsid w:val="310E0361"/>
    <w:rsid w:val="31C54C32"/>
    <w:rsid w:val="335A041A"/>
    <w:rsid w:val="34091EAE"/>
    <w:rsid w:val="348B7F56"/>
    <w:rsid w:val="35E26A88"/>
    <w:rsid w:val="37173AA5"/>
    <w:rsid w:val="377830BD"/>
    <w:rsid w:val="37A0392B"/>
    <w:rsid w:val="388522C4"/>
    <w:rsid w:val="3A85056A"/>
    <w:rsid w:val="3AAB5CAE"/>
    <w:rsid w:val="3CBE13DA"/>
    <w:rsid w:val="3D0F1C01"/>
    <w:rsid w:val="3EB2207C"/>
    <w:rsid w:val="3EF34E0B"/>
    <w:rsid w:val="44092A11"/>
    <w:rsid w:val="451C53AF"/>
    <w:rsid w:val="46212D44"/>
    <w:rsid w:val="47644F71"/>
    <w:rsid w:val="485A1FB0"/>
    <w:rsid w:val="487C6ADD"/>
    <w:rsid w:val="49466EE3"/>
    <w:rsid w:val="49AB3BD5"/>
    <w:rsid w:val="4A097F02"/>
    <w:rsid w:val="4AF4194A"/>
    <w:rsid w:val="4BEB70ED"/>
    <w:rsid w:val="4C302183"/>
    <w:rsid w:val="4C3D4A29"/>
    <w:rsid w:val="4C9D0742"/>
    <w:rsid w:val="4F350DF4"/>
    <w:rsid w:val="518B2796"/>
    <w:rsid w:val="526B6599"/>
    <w:rsid w:val="528F0F49"/>
    <w:rsid w:val="52E6475C"/>
    <w:rsid w:val="52F06337"/>
    <w:rsid w:val="53E54FD1"/>
    <w:rsid w:val="57E1385E"/>
    <w:rsid w:val="58530238"/>
    <w:rsid w:val="591D7B4C"/>
    <w:rsid w:val="596A5365"/>
    <w:rsid w:val="5AB32611"/>
    <w:rsid w:val="5B2E2DA5"/>
    <w:rsid w:val="5DAB4AD4"/>
    <w:rsid w:val="5DCF788C"/>
    <w:rsid w:val="5E227A79"/>
    <w:rsid w:val="5E967B25"/>
    <w:rsid w:val="5EA93957"/>
    <w:rsid w:val="60977D0C"/>
    <w:rsid w:val="617C7017"/>
    <w:rsid w:val="61B557FA"/>
    <w:rsid w:val="65631C1E"/>
    <w:rsid w:val="66CE159C"/>
    <w:rsid w:val="675932A3"/>
    <w:rsid w:val="68560947"/>
    <w:rsid w:val="6926651B"/>
    <w:rsid w:val="6A677CA0"/>
    <w:rsid w:val="6D9D3427"/>
    <w:rsid w:val="6DBA2C22"/>
    <w:rsid w:val="6E982DFD"/>
    <w:rsid w:val="6EE95413"/>
    <w:rsid w:val="71C11699"/>
    <w:rsid w:val="72571549"/>
    <w:rsid w:val="725C486D"/>
    <w:rsid w:val="727E4130"/>
    <w:rsid w:val="737963D5"/>
    <w:rsid w:val="737F7AD8"/>
    <w:rsid w:val="74C0029D"/>
    <w:rsid w:val="74D23ED6"/>
    <w:rsid w:val="75682122"/>
    <w:rsid w:val="760A7B03"/>
    <w:rsid w:val="78167D08"/>
    <w:rsid w:val="786D29B2"/>
    <w:rsid w:val="7A547A23"/>
    <w:rsid w:val="7A5A03C2"/>
    <w:rsid w:val="7A797B03"/>
    <w:rsid w:val="7A8C7430"/>
    <w:rsid w:val="7ADE113A"/>
    <w:rsid w:val="7BC90A35"/>
    <w:rsid w:val="7D87038A"/>
    <w:rsid w:val="7DD028EC"/>
    <w:rsid w:val="7E286386"/>
    <w:rsid w:val="7F5F7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2017-10-27T11:59:00Z</dcterms:created>
  <dc:creator>Administrator</dc:creator>
  <cp:lastModifiedBy>Administrator</cp:lastModifiedBy>
  <cp:lastPrinted>2018-10-28T05:50:00Z</cp:lastPrinted>
  <dcterms:modified xsi:type="dcterms:W3CDTF">2018-11-27T09:50:36Z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