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after="156" w:line="540" w:lineRule="auto"/>
        <w:ind w:firstLine="560"/>
        <w:jc w:val="center"/>
        <w:rPr>
          <w:rFonts w:hint="eastAsia" w:ascii="仿宋" w:hAnsi="仿宋" w:eastAsia="仿宋" w:cs="仿宋"/>
          <w:b/>
          <w:bCs/>
          <w:sz w:val="32"/>
          <w:szCs w:val="32"/>
        </w:rPr>
      </w:pPr>
      <w:r>
        <w:rPr>
          <w:rFonts w:hint="eastAsia" w:ascii="仿宋" w:hAnsi="仿宋" w:eastAsia="仿宋" w:cs="仿宋"/>
          <w:b/>
          <w:bCs/>
          <w:color w:val="000000"/>
          <w:sz w:val="32"/>
          <w:szCs w:val="32"/>
          <w:shd w:val="clear" w:color="auto" w:fill="FFFFFF"/>
        </w:rPr>
        <w:t xml:space="preserve">                        </w:t>
      </w:r>
    </w:p>
    <w:p>
      <w:pPr>
        <w:jc w:val="center"/>
        <w:rPr>
          <w:rFonts w:hint="eastAsia" w:ascii="仿宋" w:hAnsi="仿宋" w:eastAsia="仿宋" w:cs="仿宋"/>
          <w:b/>
          <w:bCs/>
          <w:sz w:val="36"/>
          <w:szCs w:val="36"/>
        </w:rPr>
      </w:pPr>
      <w:r>
        <w:rPr>
          <w:rFonts w:hint="eastAsia" w:ascii="仿宋" w:hAnsi="仿宋" w:eastAsia="仿宋" w:cs="仿宋"/>
          <w:b/>
          <w:bCs/>
          <w:sz w:val="36"/>
          <w:szCs w:val="36"/>
        </w:rPr>
        <w:t>鹤城区2017年度城乡居民养老保险专项资金</w:t>
      </w:r>
    </w:p>
    <w:p>
      <w:pPr>
        <w:jc w:val="center"/>
        <w:rPr>
          <w:rFonts w:hint="eastAsia" w:ascii="仿宋" w:hAnsi="仿宋" w:eastAsia="仿宋" w:cs="仿宋"/>
          <w:b/>
          <w:bCs/>
          <w:sz w:val="32"/>
          <w:szCs w:val="32"/>
        </w:rPr>
      </w:pPr>
      <w:r>
        <w:rPr>
          <w:rFonts w:hint="eastAsia" w:ascii="仿宋" w:hAnsi="仿宋" w:eastAsia="仿宋" w:cs="仿宋"/>
          <w:b/>
          <w:bCs/>
          <w:sz w:val="36"/>
          <w:szCs w:val="36"/>
        </w:rPr>
        <w:t xml:space="preserve">绩效评价报告   </w:t>
      </w:r>
      <w:r>
        <w:rPr>
          <w:rFonts w:hint="eastAsia" w:ascii="仿宋" w:hAnsi="仿宋" w:eastAsia="仿宋" w:cs="仿宋"/>
          <w:b/>
          <w:bCs/>
          <w:sz w:val="32"/>
          <w:szCs w:val="32"/>
        </w:rPr>
        <w:t xml:space="preserve"> </w:t>
      </w:r>
    </w:p>
    <w:p>
      <w:pPr>
        <w:jc w:val="center"/>
        <w:rPr>
          <w:rFonts w:hint="eastAsia" w:ascii="仿宋" w:hAnsi="仿宋" w:eastAsia="仿宋" w:cs="仿宋"/>
          <w:b/>
          <w:bCs/>
          <w:sz w:val="32"/>
          <w:szCs w:val="32"/>
        </w:rPr>
      </w:pPr>
    </w:p>
    <w:p>
      <w:pPr>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根据《湖南省人民政府关于全面推进预算绩效管理的意见》（湘政发［2012］33号）、《怀化市鹤城区财政局关于印发&lt;2018年度预算绩效管理工作实施方案&gt;的通知》（鹤财绩［2018］26号）及《怀化市鹤城区财政局关于开展2017年度财政支出绩效评价工作的通知》（鹤财绩［2018］14号）文件有关要求，受怀化市鹤城区财政局委托，恒信弘正会计师事务所有限责任公司怀化分所成立绩效评价工作小组，于2018年9月至10月对“鹤城区2017年度</w:t>
      </w:r>
      <w:r>
        <w:rPr>
          <w:rFonts w:hint="eastAsia" w:ascii="仿宋" w:hAnsi="仿宋" w:eastAsia="仿宋" w:cs="仿宋"/>
          <w:b/>
          <w:bCs/>
          <w:sz w:val="32"/>
          <w:szCs w:val="32"/>
          <w:lang w:eastAsia="zh-CN"/>
        </w:rPr>
        <w:t>城乡居民养老保险</w:t>
      </w:r>
      <w:r>
        <w:rPr>
          <w:rFonts w:hint="eastAsia" w:ascii="仿宋" w:hAnsi="仿宋" w:eastAsia="仿宋" w:cs="仿宋"/>
          <w:b/>
          <w:bCs/>
          <w:sz w:val="32"/>
          <w:szCs w:val="32"/>
        </w:rPr>
        <w:t>项目专项资金”实施了绩效评价，现将评价结果分别报告如下：</w:t>
      </w:r>
    </w:p>
    <w:p>
      <w:pPr>
        <w:numPr>
          <w:ilvl w:val="0"/>
          <w:numId w:val="1"/>
        </w:numPr>
        <w:spacing w:line="720" w:lineRule="auto"/>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项目概况</w:t>
      </w:r>
    </w:p>
    <w:p>
      <w:pPr>
        <w:pStyle w:val="8"/>
        <w:widowControl w:val="0"/>
        <w:spacing w:before="0" w:beforeAutospacing="0" w:after="0" w:afterAutospacing="0"/>
        <w:ind w:firstLine="321" w:firstLineChars="100"/>
        <w:jc w:val="both"/>
        <w:rPr>
          <w:rFonts w:hint="eastAsia" w:ascii="仿宋" w:hAnsi="仿宋" w:eastAsia="仿宋" w:cs="仿宋"/>
          <w:b/>
          <w:bCs/>
          <w:kern w:val="2"/>
          <w:sz w:val="32"/>
          <w:szCs w:val="32"/>
        </w:rPr>
      </w:pPr>
      <w:r>
        <w:rPr>
          <w:rFonts w:hint="eastAsia" w:ascii="仿宋" w:hAnsi="仿宋" w:eastAsia="仿宋" w:cs="仿宋"/>
          <w:b/>
          <w:bCs/>
          <w:sz w:val="32"/>
          <w:szCs w:val="32"/>
        </w:rPr>
        <w:t xml:space="preserve"> </w:t>
      </w:r>
      <w:r>
        <w:rPr>
          <w:rFonts w:hint="eastAsia" w:ascii="仿宋" w:hAnsi="仿宋" w:eastAsia="仿宋" w:cs="仿宋"/>
          <w:b/>
          <w:bCs/>
          <w:kern w:val="2"/>
          <w:sz w:val="32"/>
          <w:szCs w:val="32"/>
        </w:rPr>
        <w:t>（一）、项目单位基本情况</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鹤城区新型农村社会养老保险管理局（以下简称鹤城区农保局）2010年11月26日</w:t>
      </w:r>
      <w:r>
        <w:rPr>
          <w:rFonts w:hint="eastAsia" w:ascii="仿宋" w:hAnsi="仿宋" w:eastAsia="仿宋" w:cs="仿宋"/>
          <w:b/>
          <w:bCs/>
          <w:sz w:val="32"/>
          <w:szCs w:val="32"/>
          <w:lang w:eastAsia="zh-CN"/>
        </w:rPr>
        <w:t>成立，管理</w:t>
      </w:r>
      <w:r>
        <w:rPr>
          <w:rFonts w:hint="eastAsia" w:ascii="仿宋" w:hAnsi="仿宋" w:eastAsia="仿宋" w:cs="仿宋"/>
          <w:b/>
          <w:bCs/>
          <w:sz w:val="32"/>
          <w:szCs w:val="32"/>
        </w:rPr>
        <w:t>完善</w:t>
      </w:r>
      <w:r>
        <w:rPr>
          <w:rFonts w:hint="eastAsia" w:ascii="仿宋" w:hAnsi="仿宋" w:eastAsia="仿宋" w:cs="仿宋"/>
          <w:b/>
          <w:bCs/>
          <w:sz w:val="32"/>
          <w:szCs w:val="32"/>
          <w:lang w:eastAsia="zh-CN"/>
        </w:rPr>
        <w:t>鹤城</w:t>
      </w:r>
      <w:r>
        <w:rPr>
          <w:rFonts w:hint="eastAsia" w:ascii="仿宋" w:hAnsi="仿宋" w:eastAsia="仿宋" w:cs="仿宋"/>
          <w:b/>
          <w:bCs/>
          <w:sz w:val="32"/>
          <w:szCs w:val="32"/>
        </w:rPr>
        <w:t>区社会保障体系，加快</w:t>
      </w:r>
      <w:r>
        <w:rPr>
          <w:rFonts w:hint="eastAsia" w:ascii="仿宋" w:hAnsi="仿宋" w:eastAsia="仿宋" w:cs="仿宋"/>
          <w:b/>
          <w:bCs/>
          <w:sz w:val="32"/>
          <w:szCs w:val="32"/>
          <w:lang w:eastAsia="zh-CN"/>
        </w:rPr>
        <w:t>城乡居民</w:t>
      </w:r>
      <w:r>
        <w:rPr>
          <w:rFonts w:hint="eastAsia" w:ascii="仿宋" w:hAnsi="仿宋" w:eastAsia="仿宋" w:cs="仿宋"/>
          <w:b/>
          <w:bCs/>
          <w:sz w:val="32"/>
          <w:szCs w:val="32"/>
        </w:rPr>
        <w:t>社会养老保险管理制度</w:t>
      </w:r>
      <w:r>
        <w:rPr>
          <w:rFonts w:hint="eastAsia" w:ascii="仿宋" w:hAnsi="仿宋" w:eastAsia="仿宋" w:cs="仿宋"/>
          <w:b/>
          <w:bCs/>
          <w:sz w:val="32"/>
          <w:szCs w:val="32"/>
          <w:lang w:eastAsia="zh-CN"/>
        </w:rPr>
        <w:t>。</w:t>
      </w:r>
      <w:r>
        <w:rPr>
          <w:rFonts w:hint="eastAsia" w:ascii="仿宋" w:hAnsi="仿宋" w:eastAsia="仿宋" w:cs="仿宋"/>
          <w:b/>
          <w:bCs/>
          <w:sz w:val="32"/>
          <w:szCs w:val="32"/>
        </w:rPr>
        <w:t>内设有城乡居民养老保险业务股、财务股、办公室3个人股室，隶属于人力资源和社会保障局。主要负责城乡居民社会</w:t>
      </w:r>
      <w:r>
        <w:rPr>
          <w:rFonts w:hint="eastAsia" w:ascii="仿宋" w:hAnsi="仿宋" w:eastAsia="仿宋" w:cs="仿宋"/>
          <w:b/>
          <w:bCs/>
          <w:sz w:val="32"/>
          <w:szCs w:val="32"/>
          <w:lang w:eastAsia="zh-CN"/>
        </w:rPr>
        <w:t>养老</w:t>
      </w:r>
      <w:r>
        <w:rPr>
          <w:rFonts w:hint="eastAsia" w:ascii="仿宋" w:hAnsi="仿宋" w:eastAsia="仿宋" w:cs="仿宋"/>
          <w:b/>
          <w:bCs/>
          <w:sz w:val="32"/>
          <w:szCs w:val="32"/>
        </w:rPr>
        <w:t>保险的参保登记、缴费申报管理</w:t>
      </w:r>
      <w:r>
        <w:rPr>
          <w:rFonts w:hint="eastAsia" w:ascii="仿宋" w:hAnsi="仿宋" w:eastAsia="仿宋" w:cs="仿宋"/>
          <w:b/>
          <w:bCs/>
          <w:sz w:val="32"/>
          <w:szCs w:val="32"/>
          <w:lang w:eastAsia="zh-CN"/>
        </w:rPr>
        <w:t>，</w:t>
      </w:r>
      <w:r>
        <w:rPr>
          <w:rFonts w:hint="eastAsia" w:ascii="仿宋" w:hAnsi="仿宋" w:eastAsia="仿宋" w:cs="仿宋"/>
          <w:b/>
          <w:bCs/>
          <w:sz w:val="32"/>
          <w:szCs w:val="32"/>
        </w:rPr>
        <w:t>基金征缴、个人账户建立管理、待遇核定与发放、保险关系转移（接）手续、统计分析等工作</w:t>
      </w:r>
      <w:r>
        <w:rPr>
          <w:rFonts w:hint="eastAsia" w:ascii="仿宋" w:hAnsi="仿宋" w:eastAsia="仿宋" w:cs="仿宋"/>
          <w:b/>
          <w:bCs/>
          <w:sz w:val="32"/>
          <w:szCs w:val="32"/>
          <w:lang w:eastAsia="zh-CN"/>
        </w:rPr>
        <w:t>。</w:t>
      </w:r>
      <w:r>
        <w:rPr>
          <w:rFonts w:hint="eastAsia" w:ascii="仿宋" w:hAnsi="仿宋" w:eastAsia="仿宋" w:cs="仿宋"/>
          <w:b/>
          <w:bCs/>
          <w:sz w:val="32"/>
          <w:szCs w:val="32"/>
        </w:rPr>
        <w:t>现有编制人员数10人，退休人员1人，共计11人。</w:t>
      </w:r>
    </w:p>
    <w:p>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、项目基本情况</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建立城</w:t>
      </w:r>
      <w:r>
        <w:rPr>
          <w:rFonts w:hint="eastAsia" w:ascii="仿宋" w:hAnsi="仿宋" w:eastAsia="仿宋" w:cs="仿宋"/>
          <w:b/>
          <w:bCs/>
          <w:sz w:val="32"/>
          <w:szCs w:val="32"/>
          <w:lang w:eastAsia="zh-CN"/>
        </w:rPr>
        <w:t>乡</w:t>
      </w:r>
      <w:r>
        <w:rPr>
          <w:rFonts w:hint="eastAsia" w:ascii="仿宋" w:hAnsi="仿宋" w:eastAsia="仿宋" w:cs="仿宋"/>
          <w:b/>
          <w:bCs/>
          <w:sz w:val="32"/>
          <w:szCs w:val="32"/>
        </w:rPr>
        <w:t>居民养老保险制度是</w:t>
      </w:r>
      <w:r>
        <w:rPr>
          <w:rFonts w:hint="eastAsia" w:ascii="仿宋" w:hAnsi="仿宋" w:eastAsia="仿宋" w:cs="仿宋"/>
          <w:b/>
          <w:bCs/>
          <w:sz w:val="32"/>
          <w:szCs w:val="32"/>
          <w:lang w:eastAsia="zh-CN"/>
        </w:rPr>
        <w:t>国家</w:t>
      </w:r>
      <w:r>
        <w:rPr>
          <w:rFonts w:hint="eastAsia" w:ascii="仿宋" w:hAnsi="仿宋" w:eastAsia="仿宋" w:cs="仿宋"/>
          <w:b/>
          <w:bCs/>
          <w:sz w:val="32"/>
          <w:szCs w:val="32"/>
        </w:rPr>
        <w:t>深入加快建设覆盖城乡居民社会保障体系的重大决策</w:t>
      </w:r>
      <w:r>
        <w:rPr>
          <w:rFonts w:hint="eastAsia" w:ascii="仿宋" w:hAnsi="仿宋" w:eastAsia="仿宋" w:cs="仿宋"/>
          <w:b/>
          <w:bCs/>
          <w:sz w:val="32"/>
          <w:szCs w:val="32"/>
          <w:lang w:eastAsia="zh-CN"/>
        </w:rPr>
        <w:t>，</w:t>
      </w:r>
      <w:r>
        <w:rPr>
          <w:rFonts w:hint="eastAsia" w:ascii="仿宋" w:hAnsi="仿宋" w:eastAsia="仿宋" w:cs="仿宋"/>
          <w:b/>
          <w:bCs/>
          <w:sz w:val="32"/>
          <w:szCs w:val="32"/>
        </w:rPr>
        <w:t>是实现广大城</w:t>
      </w:r>
      <w:r>
        <w:rPr>
          <w:rFonts w:hint="eastAsia" w:ascii="仿宋" w:hAnsi="仿宋" w:eastAsia="仿宋" w:cs="仿宋"/>
          <w:b/>
          <w:bCs/>
          <w:sz w:val="32"/>
          <w:szCs w:val="32"/>
          <w:lang w:eastAsia="zh-CN"/>
        </w:rPr>
        <w:t>乡</w:t>
      </w:r>
      <w:r>
        <w:rPr>
          <w:rFonts w:hint="eastAsia" w:ascii="仿宋" w:hAnsi="仿宋" w:eastAsia="仿宋" w:cs="仿宋"/>
          <w:b/>
          <w:bCs/>
          <w:sz w:val="32"/>
          <w:szCs w:val="32"/>
        </w:rPr>
        <w:t>居民老有所养，促进家庭和睦、社会和谐的重大</w:t>
      </w:r>
      <w:r>
        <w:rPr>
          <w:rFonts w:hint="eastAsia" w:ascii="仿宋" w:hAnsi="仿宋" w:eastAsia="仿宋" w:cs="仿宋"/>
          <w:b/>
          <w:bCs/>
          <w:sz w:val="32"/>
          <w:szCs w:val="32"/>
          <w:lang w:eastAsia="zh-CN"/>
        </w:rPr>
        <w:t>举措，是</w:t>
      </w:r>
      <w:r>
        <w:rPr>
          <w:rFonts w:hint="eastAsia" w:ascii="仿宋" w:hAnsi="仿宋" w:eastAsia="仿宋" w:cs="仿宋"/>
          <w:b/>
          <w:bCs/>
          <w:sz w:val="32"/>
          <w:szCs w:val="32"/>
        </w:rPr>
        <w:t>弘扬中华民族敬老、养老的美德，引导子女依法履行赡养老人义务</w:t>
      </w:r>
      <w:r>
        <w:rPr>
          <w:rFonts w:hint="eastAsia" w:ascii="仿宋" w:hAnsi="仿宋" w:eastAsia="仿宋" w:cs="仿宋"/>
          <w:b/>
          <w:bCs/>
          <w:sz w:val="32"/>
          <w:szCs w:val="32"/>
          <w:lang w:eastAsia="zh-CN"/>
        </w:rPr>
        <w:t>的重要政策，它先后经历了2009年建立新型农村社会养老保险（简称“新农保”）试点、2011年建立城乡居民养老保险（简称“城居保”）试点，2014年才建立了统一的城乡居民基本养老保险制度。使得</w:t>
      </w:r>
      <w:r>
        <w:rPr>
          <w:rFonts w:hint="eastAsia" w:ascii="仿宋" w:hAnsi="仿宋" w:eastAsia="仿宋" w:cs="仿宋"/>
          <w:b/>
          <w:bCs/>
          <w:sz w:val="32"/>
          <w:szCs w:val="32"/>
        </w:rPr>
        <w:t>我国人人"老有所养"的千年夙愿将基本得以实现。</w:t>
      </w:r>
    </w:p>
    <w:p>
      <w:pPr>
        <w:ind w:firstLine="640"/>
        <w:rPr>
          <w:rFonts w:hint="eastAsia" w:ascii="仿宋" w:hAnsi="仿宋" w:eastAsia="仿宋" w:cs="仿宋"/>
          <w:b/>
          <w:bCs/>
          <w:sz w:val="32"/>
          <w:szCs w:val="32"/>
        </w:rPr>
      </w:pPr>
      <w:r>
        <w:rPr>
          <w:rFonts w:hint="eastAsia" w:ascii="仿宋" w:hAnsi="仿宋" w:eastAsia="仿宋" w:cs="仿宋"/>
          <w:b/>
          <w:bCs/>
          <w:sz w:val="32"/>
          <w:szCs w:val="32"/>
        </w:rPr>
        <w:t>城</w:t>
      </w:r>
      <w:r>
        <w:rPr>
          <w:rFonts w:hint="eastAsia" w:ascii="仿宋" w:hAnsi="仿宋" w:eastAsia="仿宋" w:cs="仿宋"/>
          <w:b/>
          <w:bCs/>
          <w:sz w:val="32"/>
          <w:szCs w:val="32"/>
          <w:lang w:eastAsia="zh-CN"/>
        </w:rPr>
        <w:t>乡</w:t>
      </w:r>
      <w:r>
        <w:rPr>
          <w:rFonts w:hint="eastAsia" w:ascii="仿宋" w:hAnsi="仿宋" w:eastAsia="仿宋" w:cs="仿宋"/>
          <w:b/>
          <w:bCs/>
          <w:sz w:val="32"/>
          <w:szCs w:val="32"/>
        </w:rPr>
        <w:t>居民社会养老保险是覆盖非国家机关和事业单位工作人员及不属于职工基本养老保险制度覆盖范围的非从业人员城乡居民</w:t>
      </w:r>
      <w:r>
        <w:rPr>
          <w:rFonts w:hint="eastAsia" w:ascii="仿宋" w:hAnsi="仿宋" w:eastAsia="仿宋" w:cs="仿宋"/>
          <w:b/>
          <w:bCs/>
          <w:sz w:val="32"/>
          <w:szCs w:val="32"/>
          <w:lang w:eastAsia="zh-CN"/>
        </w:rPr>
        <w:t>。是</w:t>
      </w:r>
      <w:r>
        <w:rPr>
          <w:rFonts w:hint="eastAsia" w:ascii="仿宋" w:hAnsi="仿宋" w:eastAsia="仿宋" w:cs="仿宋"/>
          <w:b/>
          <w:bCs/>
          <w:sz w:val="32"/>
          <w:szCs w:val="32"/>
        </w:rPr>
        <w:t>建立</w:t>
      </w:r>
      <w:r>
        <w:rPr>
          <w:rFonts w:hint="eastAsia" w:ascii="仿宋" w:hAnsi="仿宋" w:eastAsia="仿宋" w:cs="仿宋"/>
          <w:b/>
          <w:bCs/>
          <w:sz w:val="32"/>
          <w:szCs w:val="32"/>
          <w:lang w:eastAsia="zh-CN"/>
        </w:rPr>
        <w:t>在</w:t>
      </w:r>
      <w:r>
        <w:rPr>
          <w:rFonts w:hint="eastAsia" w:ascii="仿宋" w:hAnsi="仿宋" w:eastAsia="仿宋" w:cs="仿宋"/>
          <w:b/>
          <w:bCs/>
          <w:sz w:val="32"/>
          <w:szCs w:val="32"/>
        </w:rPr>
        <w:t>个人缴费、政府补贴相结合的城</w:t>
      </w:r>
      <w:r>
        <w:rPr>
          <w:rFonts w:hint="eastAsia" w:ascii="仿宋" w:hAnsi="仿宋" w:eastAsia="仿宋" w:cs="仿宋"/>
          <w:b/>
          <w:bCs/>
          <w:sz w:val="32"/>
          <w:szCs w:val="32"/>
          <w:lang w:eastAsia="zh-CN"/>
        </w:rPr>
        <w:t>乡</w:t>
      </w:r>
      <w:r>
        <w:rPr>
          <w:rFonts w:hint="eastAsia" w:ascii="仿宋" w:hAnsi="仿宋" w:eastAsia="仿宋" w:cs="仿宋"/>
          <w:b/>
          <w:bCs/>
          <w:sz w:val="32"/>
          <w:szCs w:val="32"/>
        </w:rPr>
        <w:t>居民养老保险制度，实行社会统筹和个人账户相结合</w:t>
      </w:r>
      <w:r>
        <w:rPr>
          <w:rFonts w:hint="eastAsia" w:ascii="仿宋" w:hAnsi="仿宋" w:eastAsia="仿宋" w:cs="仿宋"/>
          <w:b/>
          <w:bCs/>
          <w:sz w:val="32"/>
          <w:szCs w:val="32"/>
          <w:lang w:eastAsia="zh-CN"/>
        </w:rPr>
        <w:t>。</w:t>
      </w:r>
    </w:p>
    <w:p>
      <w:pPr>
        <w:tabs>
          <w:tab w:val="left" w:pos="947"/>
        </w:tabs>
        <w:ind w:firstLine="964" w:firstLineChars="300"/>
        <w:jc w:val="left"/>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p>
    <w:p>
      <w:pPr>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（一）、专项资金安排</w:t>
      </w:r>
      <w:r>
        <w:rPr>
          <w:rFonts w:hint="eastAsia" w:ascii="仿宋" w:hAnsi="仿宋" w:eastAsia="仿宋" w:cs="仿宋"/>
          <w:b/>
          <w:bCs/>
          <w:sz w:val="32"/>
          <w:szCs w:val="32"/>
          <w:lang w:eastAsia="zh-CN"/>
        </w:rPr>
        <w:t>到位使用</w:t>
      </w:r>
      <w:r>
        <w:rPr>
          <w:rFonts w:hint="eastAsia" w:ascii="仿宋" w:hAnsi="仿宋" w:eastAsia="仿宋" w:cs="仿宋"/>
          <w:b/>
          <w:bCs/>
          <w:sz w:val="32"/>
          <w:szCs w:val="32"/>
        </w:rPr>
        <w:t>情况</w:t>
      </w:r>
    </w:p>
    <w:p>
      <w:pPr>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lang w:val="en-US" w:eastAsia="zh-CN"/>
        </w:rPr>
        <w:t>鹤城区2017年度城乡居民养老保险专项资金145.6万元。其中城乡居民基础养老金补贴投入100.8万；城乡居民个人账户正常缴费补贴投入36万，五保户、三无人员（无生活来源、无劳动能力、无法定抚养义务的公民）、一类低保户、重度残疾人特殊困难群体政府代缴养老金补贴投入8.8万。</w:t>
      </w:r>
      <w:r>
        <w:rPr>
          <w:rFonts w:hint="eastAsia" w:ascii="仿宋" w:hAnsi="仿宋" w:eastAsia="仿宋" w:cs="仿宋"/>
          <w:b/>
          <w:bCs/>
          <w:sz w:val="32"/>
          <w:szCs w:val="32"/>
          <w:lang w:eastAsia="zh-CN"/>
        </w:rPr>
        <w:t>其中</w:t>
      </w:r>
      <w:r>
        <w:rPr>
          <w:rFonts w:hint="eastAsia" w:ascii="仿宋" w:hAnsi="仿宋" w:eastAsia="仿宋" w:cs="仿宋"/>
          <w:b/>
          <w:bCs/>
          <w:sz w:val="32"/>
          <w:szCs w:val="32"/>
          <w:lang w:val="en-US" w:eastAsia="zh-CN"/>
        </w:rPr>
        <w:t>2017年8月拨付131.8万元，2017年12月拨付13.8万元，</w:t>
      </w:r>
      <w:r>
        <w:rPr>
          <w:rFonts w:hint="eastAsia" w:ascii="仿宋" w:hAnsi="仿宋" w:eastAsia="仿宋" w:cs="仿宋"/>
          <w:b/>
          <w:bCs/>
          <w:sz w:val="32"/>
          <w:szCs w:val="32"/>
        </w:rPr>
        <w:t>拨付资金已</w:t>
      </w:r>
      <w:r>
        <w:rPr>
          <w:rFonts w:hint="eastAsia" w:ascii="仿宋" w:hAnsi="仿宋" w:eastAsia="仿宋" w:cs="仿宋"/>
          <w:b/>
          <w:bCs/>
          <w:sz w:val="32"/>
          <w:szCs w:val="32"/>
          <w:lang w:eastAsia="zh-CN"/>
        </w:rPr>
        <w:t>全部</w:t>
      </w:r>
      <w:r>
        <w:rPr>
          <w:rFonts w:hint="eastAsia" w:ascii="仿宋" w:hAnsi="仿宋" w:eastAsia="仿宋" w:cs="仿宋"/>
          <w:b/>
          <w:bCs/>
          <w:sz w:val="32"/>
          <w:szCs w:val="32"/>
        </w:rPr>
        <w:t>到位，到位率100%。</w:t>
      </w:r>
    </w:p>
    <w:p>
      <w:pPr>
        <w:numPr>
          <w:ilvl w:val="0"/>
          <w:numId w:val="0"/>
        </w:numPr>
        <w:tabs>
          <w:tab w:val="left" w:pos="947"/>
        </w:tabs>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、项目资金管理情况分析</w:t>
      </w:r>
    </w:p>
    <w:p>
      <w:pPr>
        <w:numPr>
          <w:ilvl w:val="0"/>
          <w:numId w:val="0"/>
        </w:numPr>
        <w:tabs>
          <w:tab w:val="left" w:pos="947"/>
        </w:tabs>
        <w:ind w:firstLine="643" w:firstLineChars="200"/>
        <w:jc w:val="left"/>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城乡居民养老保险和城乡职工养老保险共同构成我国社会养老保险体系。城乡居民养老保险的资金来源除个人缴费外，还有政府对参保人缴费给予的补贴，个人缴费越多，政府补贴也越多，而且个人缴费和政府补贴全部计入参保人的个人账户。城乡居民养老保险的养老金由个人账户养老金和基础养老金两部分构成。个人账户养老金水平由账户储存额，也就是个人缴费和政府及利息总额来决定的。基础养老金则由政府全额支付。</w:t>
      </w:r>
    </w:p>
    <w:p>
      <w:pPr>
        <w:numPr>
          <w:ilvl w:val="0"/>
          <w:numId w:val="0"/>
        </w:numPr>
        <w:tabs>
          <w:tab w:val="left" w:pos="947"/>
        </w:tabs>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为更好管理使用城乡居民养老保险基金，鹤城区农保局已将城乡居民养老保险基金纳入社会保障基金财政专户，实行收支两条线管理，单独建账记账，核算，按有关规定实现保值增值。建立健全城乡居民养老保险基金财务管理制度和各项业务管理规章制度，确保基金专户使用管理，规范业务程序，建立健全内控制度和基金稽核制度，对基金的筹集、上解、划拨、发放进行监控和定期检查。并每年要求各社区和村委对城乡居民养老金的领取及资格进行公开公示，做到公开透明，接受社会群众监督。</w:t>
      </w:r>
    </w:p>
    <w:p>
      <w:pPr>
        <w:spacing w:line="720" w:lineRule="auto"/>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三、项目组织实施情况</w:t>
      </w:r>
    </w:p>
    <w:p>
      <w:pPr>
        <w:keepNext w:val="0"/>
        <w:keepLines w:val="0"/>
        <w:pageBreakBefore w:val="0"/>
        <w:widowControl w:val="0"/>
        <w:tabs>
          <w:tab w:val="left" w:pos="530"/>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（一）、项目组织情况</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根据《国务院关于建立统一的城乡居民基本养老保险制度的意见》规定，</w:t>
      </w:r>
      <w:r>
        <w:rPr>
          <w:rFonts w:hint="eastAsia" w:ascii="仿宋" w:hAnsi="仿宋" w:eastAsia="仿宋" w:cs="仿宋"/>
          <w:b/>
          <w:bCs/>
          <w:sz w:val="32"/>
          <w:szCs w:val="32"/>
        </w:rPr>
        <w:t>年满16周岁（不含在校学生）非国家机关和事业单位工作人员及不属于职工基本养老保险制度覆盖范围的城乡居民</w:t>
      </w:r>
      <w:r>
        <w:rPr>
          <w:rFonts w:hint="eastAsia" w:ascii="仿宋" w:hAnsi="仿宋" w:eastAsia="仿宋" w:cs="仿宋"/>
          <w:b/>
          <w:bCs/>
          <w:sz w:val="32"/>
          <w:szCs w:val="32"/>
          <w:lang w:eastAsia="zh-CN"/>
        </w:rPr>
        <w:t>，均可以在户籍地参加城乡居民养老保险。</w:t>
      </w:r>
      <w:r>
        <w:rPr>
          <w:rFonts w:hint="eastAsia" w:ascii="仿宋" w:hAnsi="仿宋" w:eastAsia="仿宋" w:cs="仿宋"/>
          <w:b/>
          <w:bCs/>
          <w:sz w:val="32"/>
          <w:szCs w:val="32"/>
        </w:rPr>
        <w:t>具有鹤城区户籍18-59周岁为缴费人员，60周岁以上为待遇领取人员</w:t>
      </w:r>
      <w:r>
        <w:rPr>
          <w:rFonts w:hint="eastAsia" w:ascii="仿宋" w:hAnsi="仿宋" w:eastAsia="仿宋" w:cs="仿宋"/>
          <w:b/>
          <w:bCs/>
          <w:sz w:val="32"/>
          <w:szCs w:val="32"/>
          <w:lang w:eastAsia="zh-CN"/>
        </w:rPr>
        <w:t>，在鹤城区参加城乡居民养老保险。</w:t>
      </w:r>
    </w:p>
    <w:p>
      <w:pPr>
        <w:tabs>
          <w:tab w:val="left" w:pos="530"/>
        </w:tabs>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鹤城区城乡居民养老保险个人缴费标准统一为每年100元至3000元14个档次，</w:t>
      </w:r>
      <w:r>
        <w:rPr>
          <w:rFonts w:hint="eastAsia" w:ascii="仿宋" w:hAnsi="仿宋" w:eastAsia="仿宋" w:cs="仿宋"/>
          <w:b/>
          <w:bCs/>
          <w:sz w:val="32"/>
          <w:szCs w:val="32"/>
        </w:rPr>
        <w:t>每年的1月1日至1</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月3</w:t>
      </w: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日为缴费时间</w:t>
      </w:r>
      <w:r>
        <w:rPr>
          <w:rFonts w:hint="eastAsia" w:ascii="仿宋" w:hAnsi="仿宋" w:eastAsia="仿宋" w:cs="仿宋"/>
          <w:b/>
          <w:bCs/>
          <w:sz w:val="32"/>
          <w:szCs w:val="32"/>
          <w:lang w:eastAsia="zh-CN"/>
        </w:rPr>
        <w:t>，每月</w:t>
      </w:r>
      <w:r>
        <w:rPr>
          <w:rFonts w:hint="eastAsia" w:ascii="仿宋" w:hAnsi="仿宋" w:eastAsia="仿宋" w:cs="仿宋"/>
          <w:b/>
          <w:bCs/>
          <w:sz w:val="32"/>
          <w:szCs w:val="32"/>
          <w:lang w:val="en-US" w:eastAsia="zh-CN"/>
        </w:rPr>
        <w:t>25日为养老金待遇发放日。参保的城乡居民自主选择缴费档次，多缴多得。参保人员在缴费期间户籍迁移，可跨地区转移城乡居民养老保险关系，一次性转移个人账户全部储存额，继续参保缴费的，缴费年限累计计算。并按规定为每个参保人员建立终身记录的养老保险个人账户，无论在哪缴费，也无论是否间断性缴费，个人账户都累计记录参保人权益，个人账户储存额按国家规定计息。</w:t>
      </w:r>
    </w:p>
    <w:p>
      <w:pPr>
        <w:numPr>
          <w:ilvl w:val="0"/>
          <w:numId w:val="0"/>
        </w:numPr>
        <w:tabs>
          <w:tab w:val="left" w:pos="1232"/>
        </w:tabs>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、项目管理情况</w:t>
      </w:r>
    </w:p>
    <w:p>
      <w:pPr>
        <w:numPr>
          <w:ilvl w:val="0"/>
          <w:numId w:val="0"/>
        </w:numPr>
        <w:tabs>
          <w:tab w:val="left" w:pos="1232"/>
        </w:tabs>
        <w:ind w:firstLine="643" w:firstLineChars="200"/>
        <w:jc w:val="left"/>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根据规定和满足条件的城乡居民，可作为</w:t>
      </w:r>
      <w:r>
        <w:rPr>
          <w:rFonts w:hint="eastAsia" w:ascii="仿宋" w:hAnsi="仿宋" w:eastAsia="仿宋" w:cs="仿宋"/>
          <w:b/>
          <w:bCs/>
          <w:sz w:val="32"/>
          <w:szCs w:val="32"/>
        </w:rPr>
        <w:t>参保人持身份证及户籍，到所在乡镇（街道）劳保站办理参保登记，由村(社区）劳动协管员协助参保人填写并审核，审核盖章后由乡镇（街道）劳保站复核录入城乡居保系统并上报区新农保局，由其审核确认。审核确认后，参保人</w:t>
      </w:r>
      <w:r>
        <w:rPr>
          <w:rFonts w:hint="eastAsia" w:ascii="仿宋" w:hAnsi="仿宋" w:eastAsia="仿宋" w:cs="仿宋"/>
          <w:b/>
          <w:bCs/>
          <w:sz w:val="32"/>
          <w:szCs w:val="32"/>
          <w:lang w:eastAsia="zh-CN"/>
        </w:rPr>
        <w:t>在</w:t>
      </w:r>
      <w:r>
        <w:rPr>
          <w:rFonts w:hint="eastAsia" w:ascii="仿宋" w:hAnsi="仿宋" w:eastAsia="仿宋" w:cs="仿宋"/>
          <w:b/>
          <w:bCs/>
          <w:sz w:val="32"/>
          <w:szCs w:val="32"/>
        </w:rPr>
        <w:t>持身份证及户籍到</w:t>
      </w:r>
      <w:r>
        <w:rPr>
          <w:rFonts w:hint="eastAsia" w:ascii="仿宋" w:hAnsi="仿宋" w:eastAsia="仿宋" w:cs="仿宋"/>
          <w:b/>
          <w:bCs/>
          <w:sz w:val="32"/>
          <w:szCs w:val="32"/>
          <w:lang w:eastAsia="zh-CN"/>
        </w:rPr>
        <w:t>指</w:t>
      </w:r>
      <w:r>
        <w:rPr>
          <w:rFonts w:hint="eastAsia" w:ascii="仿宋" w:hAnsi="仿宋" w:eastAsia="仿宋" w:cs="仿宋"/>
          <w:b/>
          <w:bCs/>
          <w:sz w:val="32"/>
          <w:szCs w:val="32"/>
        </w:rPr>
        <w:t>定的合作金融机构办理社会保障卡</w:t>
      </w:r>
      <w:r>
        <w:rPr>
          <w:rFonts w:hint="eastAsia" w:ascii="仿宋" w:hAnsi="仿宋" w:eastAsia="仿宋" w:cs="仿宋"/>
          <w:b/>
          <w:bCs/>
          <w:sz w:val="32"/>
          <w:szCs w:val="32"/>
          <w:lang w:eastAsia="zh-CN"/>
        </w:rPr>
        <w:t>，</w:t>
      </w:r>
      <w:r>
        <w:rPr>
          <w:rFonts w:hint="eastAsia" w:ascii="仿宋" w:hAnsi="仿宋" w:eastAsia="仿宋" w:cs="仿宋"/>
          <w:b/>
          <w:bCs/>
          <w:sz w:val="32"/>
          <w:szCs w:val="32"/>
        </w:rPr>
        <w:t>由本人持身份证到</w:t>
      </w:r>
      <w:r>
        <w:rPr>
          <w:rFonts w:hint="eastAsia" w:ascii="仿宋" w:hAnsi="仿宋" w:eastAsia="仿宋" w:cs="仿宋"/>
          <w:b/>
          <w:bCs/>
          <w:sz w:val="32"/>
          <w:szCs w:val="32"/>
          <w:lang w:eastAsia="zh-CN"/>
        </w:rPr>
        <w:t>指</w:t>
      </w:r>
      <w:r>
        <w:rPr>
          <w:rFonts w:hint="eastAsia" w:ascii="仿宋" w:hAnsi="仿宋" w:eastAsia="仿宋" w:cs="仿宋"/>
          <w:b/>
          <w:bCs/>
          <w:sz w:val="32"/>
          <w:szCs w:val="32"/>
        </w:rPr>
        <w:t>定的银行网点现场领取、激活</w:t>
      </w:r>
      <w:r>
        <w:rPr>
          <w:rFonts w:hint="eastAsia" w:ascii="仿宋" w:hAnsi="仿宋" w:eastAsia="仿宋" w:cs="仿宋"/>
          <w:b/>
          <w:bCs/>
          <w:sz w:val="32"/>
          <w:szCs w:val="32"/>
          <w:lang w:eastAsia="zh-CN"/>
        </w:rPr>
        <w:t>。参保人</w:t>
      </w:r>
      <w:r>
        <w:rPr>
          <w:rFonts w:hint="eastAsia" w:ascii="仿宋" w:hAnsi="仿宋" w:eastAsia="仿宋" w:cs="仿宋"/>
          <w:b/>
          <w:bCs/>
          <w:sz w:val="32"/>
          <w:szCs w:val="32"/>
        </w:rPr>
        <w:t>持身份证或国家社保卡到</w:t>
      </w:r>
      <w:r>
        <w:rPr>
          <w:rFonts w:hint="eastAsia" w:ascii="仿宋" w:hAnsi="仿宋" w:eastAsia="仿宋" w:cs="仿宋"/>
          <w:b/>
          <w:bCs/>
          <w:sz w:val="32"/>
          <w:szCs w:val="32"/>
          <w:lang w:eastAsia="zh-CN"/>
        </w:rPr>
        <w:t>指定的金融网点</w:t>
      </w:r>
      <w:r>
        <w:rPr>
          <w:rFonts w:hint="eastAsia" w:ascii="仿宋" w:hAnsi="仿宋" w:eastAsia="仿宋" w:cs="仿宋"/>
          <w:b/>
          <w:bCs/>
          <w:sz w:val="32"/>
          <w:szCs w:val="32"/>
        </w:rPr>
        <w:t>缴费，这是今后续费和新增参保缴费的主要方式。</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四、项目绩效情况</w:t>
      </w:r>
    </w:p>
    <w:p>
      <w:pPr>
        <w:keepNext w:val="0"/>
        <w:keepLines w:val="0"/>
        <w:pageBreakBefore w:val="0"/>
        <w:widowControl/>
        <w:kinsoku/>
        <w:wordWrap/>
        <w:overflowPunct/>
        <w:topLinePunct w:val="0"/>
        <w:autoSpaceDE/>
        <w:autoSpaceDN/>
        <w:bidi w:val="0"/>
        <w:adjustRightInd/>
        <w:snapToGrid/>
        <w:spacing w:line="33" w:lineRule="atLeast"/>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（一）、绩效评价情况</w:t>
      </w:r>
    </w:p>
    <w:p>
      <w:pPr>
        <w:widowControl/>
        <w:spacing w:before="150" w:line="33" w:lineRule="atLeast"/>
        <w:ind w:firstLine="643" w:firstLineChars="200"/>
        <w:jc w:val="left"/>
        <w:rPr>
          <w:rFonts w:hint="eastAsia" w:ascii="仿宋" w:hAnsi="仿宋" w:eastAsia="仿宋" w:cs="仿宋"/>
          <w:b/>
          <w:bCs/>
          <w:kern w:val="0"/>
          <w:sz w:val="32"/>
          <w:szCs w:val="32"/>
        </w:rPr>
      </w:pPr>
      <w:r>
        <w:rPr>
          <w:rFonts w:hint="eastAsia" w:ascii="仿宋" w:hAnsi="仿宋" w:eastAsia="仿宋" w:cs="仿宋"/>
          <w:b/>
          <w:bCs/>
          <w:sz w:val="32"/>
          <w:szCs w:val="32"/>
        </w:rPr>
        <w:t>根据《怀化市鹤城区财政局关于开展2017年度财政支出绩效评价工作的通知》（鹤财绩［2018］14号）</w:t>
      </w:r>
      <w:r>
        <w:rPr>
          <w:rFonts w:hint="eastAsia" w:ascii="仿宋" w:hAnsi="仿宋" w:eastAsia="仿宋" w:cs="仿宋"/>
          <w:b/>
          <w:bCs/>
          <w:sz w:val="32"/>
          <w:szCs w:val="32"/>
          <w:lang w:eastAsia="zh-CN"/>
        </w:rPr>
        <w:t>和《关于委托会计师事务所开展财政专项资金绩效评价的函》</w:t>
      </w:r>
      <w:r>
        <w:rPr>
          <w:rFonts w:hint="eastAsia" w:ascii="仿宋" w:hAnsi="仿宋" w:eastAsia="仿宋" w:cs="仿宋"/>
          <w:b/>
          <w:bCs/>
          <w:sz w:val="32"/>
          <w:szCs w:val="32"/>
        </w:rPr>
        <w:t>（鹤财绩</w:t>
      </w:r>
      <w:r>
        <w:rPr>
          <w:rFonts w:hint="eastAsia" w:ascii="仿宋" w:hAnsi="仿宋" w:eastAsia="仿宋" w:cs="仿宋"/>
          <w:b/>
          <w:bCs/>
          <w:sz w:val="32"/>
          <w:szCs w:val="32"/>
          <w:lang w:eastAsia="zh-CN"/>
        </w:rPr>
        <w:t>函</w:t>
      </w:r>
      <w:r>
        <w:rPr>
          <w:rFonts w:hint="eastAsia" w:ascii="仿宋" w:hAnsi="仿宋" w:eastAsia="仿宋" w:cs="仿宋"/>
          <w:b/>
          <w:bCs/>
          <w:sz w:val="32"/>
          <w:szCs w:val="32"/>
        </w:rPr>
        <w:t>［2018］1</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号）文件有关要求</w:t>
      </w:r>
      <w:r>
        <w:rPr>
          <w:rFonts w:hint="eastAsia" w:ascii="仿宋" w:hAnsi="仿宋" w:eastAsia="仿宋" w:cs="仿宋"/>
          <w:b/>
          <w:bCs/>
          <w:kern w:val="0"/>
          <w:sz w:val="32"/>
          <w:szCs w:val="32"/>
        </w:rPr>
        <w:t>，受</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财政局委托，恒信弘正会计师事务所有限责任公司怀化分所成立绩效评价工作小组，于201</w:t>
      </w:r>
      <w:r>
        <w:rPr>
          <w:rFonts w:hint="eastAsia" w:ascii="仿宋" w:hAnsi="仿宋" w:eastAsia="仿宋" w:cs="仿宋"/>
          <w:b/>
          <w:bCs/>
          <w:kern w:val="0"/>
          <w:sz w:val="32"/>
          <w:szCs w:val="32"/>
          <w:lang w:val="en-US" w:eastAsia="zh-CN"/>
        </w:rPr>
        <w:t>8</w:t>
      </w:r>
      <w:r>
        <w:rPr>
          <w:rFonts w:hint="eastAsia" w:ascii="仿宋" w:hAnsi="仿宋" w:eastAsia="仿宋" w:cs="仿宋"/>
          <w:b/>
          <w:bCs/>
          <w:kern w:val="0"/>
          <w:sz w:val="32"/>
          <w:szCs w:val="32"/>
        </w:rPr>
        <w:t>年</w:t>
      </w:r>
      <w:r>
        <w:rPr>
          <w:rFonts w:hint="eastAsia" w:ascii="仿宋" w:hAnsi="仿宋" w:eastAsia="仿宋" w:cs="仿宋"/>
          <w:b/>
          <w:bCs/>
          <w:kern w:val="0"/>
          <w:sz w:val="32"/>
          <w:szCs w:val="32"/>
          <w:lang w:val="en-US" w:eastAsia="zh-CN"/>
        </w:rPr>
        <w:t>9</w:t>
      </w:r>
      <w:r>
        <w:rPr>
          <w:rFonts w:hint="eastAsia" w:ascii="仿宋" w:hAnsi="仿宋" w:eastAsia="仿宋" w:cs="仿宋"/>
          <w:b/>
          <w:bCs/>
          <w:kern w:val="0"/>
          <w:sz w:val="32"/>
          <w:szCs w:val="32"/>
        </w:rPr>
        <w:t>月至</w:t>
      </w:r>
      <w:r>
        <w:rPr>
          <w:rFonts w:hint="eastAsia" w:ascii="仿宋" w:hAnsi="仿宋" w:eastAsia="仿宋" w:cs="仿宋"/>
          <w:b/>
          <w:bCs/>
          <w:kern w:val="0"/>
          <w:sz w:val="32"/>
          <w:szCs w:val="32"/>
          <w:lang w:val="en-US" w:eastAsia="zh-CN"/>
        </w:rPr>
        <w:t>10</w:t>
      </w:r>
      <w:r>
        <w:rPr>
          <w:rFonts w:hint="eastAsia" w:ascii="仿宋" w:hAnsi="仿宋" w:eastAsia="仿宋" w:cs="仿宋"/>
          <w:b/>
          <w:bCs/>
          <w:kern w:val="0"/>
          <w:sz w:val="32"/>
          <w:szCs w:val="32"/>
        </w:rPr>
        <w:t>月对“</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lang w:val="en-US" w:eastAsia="zh-CN"/>
        </w:rPr>
        <w:t>2017年度城乡居民养老保险</w:t>
      </w:r>
      <w:r>
        <w:rPr>
          <w:rFonts w:hint="eastAsia" w:ascii="仿宋" w:hAnsi="仿宋" w:eastAsia="仿宋" w:cs="仿宋"/>
          <w:b/>
          <w:bCs/>
          <w:kern w:val="0"/>
          <w:sz w:val="32"/>
          <w:szCs w:val="32"/>
        </w:rPr>
        <w:t>”项目进行了现场评价，工作小组通过现场评价听取情况汇报，审查政策文件</w:t>
      </w:r>
      <w:r>
        <w:rPr>
          <w:rFonts w:hint="eastAsia" w:ascii="仿宋" w:hAnsi="仿宋" w:eastAsia="仿宋" w:cs="仿宋"/>
          <w:b/>
          <w:bCs/>
          <w:kern w:val="0"/>
          <w:sz w:val="32"/>
          <w:szCs w:val="32"/>
          <w:lang w:eastAsia="zh-CN"/>
        </w:rPr>
        <w:t>批复</w:t>
      </w:r>
      <w:r>
        <w:rPr>
          <w:rFonts w:hint="eastAsia" w:ascii="仿宋" w:hAnsi="仿宋" w:eastAsia="仿宋" w:cs="仿宋"/>
          <w:b/>
          <w:bCs/>
          <w:kern w:val="0"/>
          <w:sz w:val="32"/>
          <w:szCs w:val="32"/>
        </w:rPr>
        <w:t>、相关报表、账簿、凭证和项目业务台账等资料，实地走访调查了解资金使用，采集相关数据进行分析，形成评价结论。</w:t>
      </w:r>
    </w:p>
    <w:p>
      <w:pPr>
        <w:widowControl/>
        <w:spacing w:before="150" w:line="480" w:lineRule="auto"/>
        <w:ind w:firstLine="321" w:firstLineChars="1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w:t>
      </w:r>
      <w:r>
        <w:rPr>
          <w:rFonts w:hint="eastAsia" w:ascii="仿宋" w:hAnsi="仿宋" w:eastAsia="仿宋" w:cs="仿宋"/>
          <w:b/>
          <w:bCs/>
          <w:kern w:val="0"/>
          <w:sz w:val="32"/>
          <w:szCs w:val="32"/>
          <w:lang w:eastAsia="zh-CN"/>
        </w:rPr>
        <w:t>二</w:t>
      </w:r>
      <w:r>
        <w:rPr>
          <w:rFonts w:hint="eastAsia" w:ascii="仿宋" w:hAnsi="仿宋" w:eastAsia="仿宋" w:cs="仿宋"/>
          <w:b/>
          <w:bCs/>
          <w:kern w:val="0"/>
          <w:sz w:val="32"/>
          <w:szCs w:val="32"/>
        </w:rPr>
        <w:t>）、项目主要绩效</w:t>
      </w:r>
    </w:p>
    <w:p>
      <w:pPr>
        <w:spacing w:line="560" w:lineRule="exact"/>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color w:val="0C0C0C" w:themeColor="text1" w:themeTint="F2"/>
          <w:sz w:val="32"/>
          <w:szCs w:val="32"/>
        </w:rPr>
        <w:t>201</w:t>
      </w:r>
      <w:r>
        <w:rPr>
          <w:rFonts w:hint="eastAsia" w:ascii="仿宋" w:hAnsi="仿宋" w:eastAsia="仿宋" w:cs="仿宋"/>
          <w:b/>
          <w:bCs/>
          <w:color w:val="0C0C0C" w:themeColor="text1" w:themeTint="F2"/>
          <w:sz w:val="32"/>
          <w:szCs w:val="32"/>
          <w:lang w:val="en-US" w:eastAsia="zh-CN"/>
        </w:rPr>
        <w:t>7</w:t>
      </w:r>
      <w:r>
        <w:rPr>
          <w:rFonts w:hint="eastAsia" w:ascii="仿宋" w:hAnsi="仿宋" w:eastAsia="仿宋" w:cs="仿宋"/>
          <w:b/>
          <w:bCs/>
          <w:color w:val="0C0C0C" w:themeColor="text1" w:themeTint="F2"/>
          <w:sz w:val="32"/>
          <w:szCs w:val="32"/>
        </w:rPr>
        <w:t>年度</w:t>
      </w:r>
      <w:r>
        <w:rPr>
          <w:rFonts w:hint="eastAsia" w:ascii="仿宋" w:hAnsi="仿宋" w:eastAsia="仿宋" w:cs="仿宋"/>
          <w:b/>
          <w:bCs/>
          <w:color w:val="0C0C0C" w:themeColor="text1" w:themeTint="F2"/>
          <w:sz w:val="32"/>
          <w:szCs w:val="32"/>
          <w:lang w:eastAsia="zh-CN"/>
        </w:rPr>
        <w:t>鹤城区城乡居民养老保险</w:t>
      </w:r>
      <w:r>
        <w:rPr>
          <w:rFonts w:hint="eastAsia" w:ascii="仿宋" w:hAnsi="仿宋" w:eastAsia="仿宋" w:cs="仿宋"/>
          <w:b/>
          <w:bCs/>
          <w:sz w:val="32"/>
          <w:szCs w:val="32"/>
        </w:rPr>
        <w:t>专项工作基本完成，项目</w:t>
      </w:r>
      <w:r>
        <w:rPr>
          <w:rFonts w:hint="eastAsia" w:ascii="仿宋" w:hAnsi="仿宋" w:eastAsia="仿宋" w:cs="仿宋"/>
          <w:b/>
          <w:bCs/>
          <w:sz w:val="32"/>
          <w:szCs w:val="32"/>
          <w:lang w:eastAsia="zh-CN"/>
        </w:rPr>
        <w:t>的</w:t>
      </w:r>
      <w:r>
        <w:rPr>
          <w:rFonts w:hint="eastAsia" w:ascii="仿宋" w:hAnsi="仿宋" w:eastAsia="仿宋" w:cs="仿宋"/>
          <w:b/>
          <w:bCs/>
          <w:sz w:val="32"/>
          <w:szCs w:val="32"/>
        </w:rPr>
        <w:t>社会和生态效益良好</w:t>
      </w:r>
      <w:r>
        <w:rPr>
          <w:rFonts w:hint="eastAsia" w:ascii="仿宋" w:hAnsi="仿宋" w:eastAsia="仿宋" w:cs="仿宋"/>
          <w:b/>
          <w:bCs/>
          <w:sz w:val="32"/>
          <w:szCs w:val="32"/>
          <w:lang w:eastAsia="zh-CN"/>
        </w:rPr>
        <w:t>，有持续的可持续影响，群众服务对象满意度高</w:t>
      </w:r>
      <w:r>
        <w:rPr>
          <w:rFonts w:hint="eastAsia" w:ascii="仿宋" w:hAnsi="仿宋" w:eastAsia="仿宋" w:cs="仿宋"/>
          <w:b/>
          <w:bCs/>
          <w:sz w:val="32"/>
          <w:szCs w:val="32"/>
        </w:rPr>
        <w:t>。</w:t>
      </w:r>
    </w:p>
    <w:p>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覆盖全民保险，由低到高。</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rPr>
        <w:t>城</w:t>
      </w:r>
      <w:r>
        <w:rPr>
          <w:rFonts w:hint="eastAsia" w:ascii="仿宋" w:hAnsi="仿宋" w:eastAsia="仿宋" w:cs="仿宋"/>
          <w:b/>
          <w:bCs/>
          <w:sz w:val="32"/>
          <w:szCs w:val="32"/>
          <w:lang w:eastAsia="zh-CN"/>
        </w:rPr>
        <w:t>乡</w:t>
      </w:r>
      <w:r>
        <w:rPr>
          <w:rFonts w:hint="eastAsia" w:ascii="仿宋" w:hAnsi="仿宋" w:eastAsia="仿宋" w:cs="仿宋"/>
          <w:b/>
          <w:bCs/>
          <w:sz w:val="32"/>
          <w:szCs w:val="32"/>
        </w:rPr>
        <w:t>居民养老保险是由政府主导建立的社会养老保险制度，实行个人缴费、政府补贴相结合，社会统筹和个人账户相结合</w:t>
      </w:r>
      <w:r>
        <w:rPr>
          <w:rFonts w:hint="eastAsia" w:ascii="仿宋" w:hAnsi="仿宋" w:eastAsia="仿宋" w:cs="仿宋"/>
          <w:b/>
          <w:bCs/>
          <w:sz w:val="32"/>
          <w:szCs w:val="32"/>
          <w:lang w:eastAsia="zh-CN"/>
        </w:rPr>
        <w:t>。它覆盖全民保险制度建立，筹资标准和待遇标准与经济发展各方面承受能力相适应，低水平起步，先解决"从无到有"的问题，并随着经济社会发展再逐步完善制度和提高保障水平，再循序解决"由低到高"的问题。</w:t>
      </w:r>
    </w:p>
    <w:p>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激励引导，吸引居民积极参保。</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城乡居民社会养老保险实行政府主导和居民自愿相结合的原则，引导城乡居民普遍参保。制度规定坚持群众自愿参保，不搞强迫命令，而是重在运用财政补贴手段，通过激励引导，吸引更多居民参保，扩大覆盖面。缴费标准上设置多个档次，参保人自主选择，制度上鼓励多缴多得。</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个人和政府合理分担责任，权利与义务相对应。</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城乡居民社会养老保险政府投入体现既补"入口"，又补"出口"。"补入口"是在城乡居民参保缴费环节就给予财政补助，地方人民政府应对参保人员缴费给予补贴，对选择较高档次标准缴费的，可给予适当鼓励，对城乡重度残疾人等缴费困难群体，地方政府为其代缴部分或全部最低标准的养老保险费。"补出口"就是在养老金待遇支付环节给予财政补助，政府对符合待遇领取条件的参保人全额支付城乡居民养老保险基础养老金。</w:t>
      </w:r>
    </w:p>
    <w:p>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促进地方经济发展与繁荣。</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城乡居民养老保险覆盖的人群大部分是低收入群体，通过城乡居民养老保险的建设，把社会公共资源更多地向他们倾斜，更好地促进发展成果全民共享，缩小收入分配差距，促进社会公平正义，保证了城乡化建设，降低现代化进程中的各种风险。</w:t>
      </w:r>
    </w:p>
    <w:p>
      <w:pPr>
        <w:spacing w:line="720" w:lineRule="auto"/>
        <w:ind w:firstLine="643" w:firstLineChars="200"/>
        <w:jc w:val="left"/>
        <w:rPr>
          <w:rFonts w:ascii="Times New Roman" w:hAnsi="Times New Roman" w:eastAsia="仿宋" w:cs="Times New Roman"/>
          <w:b/>
          <w:bCs/>
          <w:sz w:val="32"/>
          <w:szCs w:val="32"/>
        </w:rPr>
      </w:pPr>
      <w:r>
        <w:rPr>
          <w:rFonts w:hint="eastAsia" w:ascii="仿宋" w:hAnsi="仿宋" w:eastAsia="仿宋" w:cs="仿宋"/>
          <w:b/>
          <w:bCs/>
          <w:sz w:val="32"/>
          <w:szCs w:val="32"/>
          <w:lang w:val="en-US" w:eastAsia="zh-CN"/>
        </w:rPr>
        <w:t>（三）、</w:t>
      </w:r>
      <w:r>
        <w:rPr>
          <w:rFonts w:hint="eastAsia" w:ascii="Times New Roman" w:hAnsi="Times New Roman" w:eastAsia="仿宋" w:cs="Times New Roman"/>
          <w:b/>
          <w:bCs/>
          <w:sz w:val="32"/>
          <w:szCs w:val="32"/>
        </w:rPr>
        <w:t>绩效评价情况</w:t>
      </w:r>
      <w:r>
        <w:rPr>
          <w:rFonts w:ascii="Times New Roman" w:hAnsi="Times New Roman" w:eastAsia="仿宋" w:cs="Times New Roman"/>
          <w:b/>
          <w:bCs/>
          <w:sz w:val="32"/>
          <w:szCs w:val="32"/>
        </w:rPr>
        <w:t>及评价结论</w:t>
      </w:r>
    </w:p>
    <w:p>
      <w:pPr>
        <w:ind w:firstLine="643" w:firstLineChars="200"/>
        <w:rPr>
          <w:rFonts w:hint="eastAsia" w:ascii="仿宋" w:hAnsi="仿宋" w:eastAsia="仿宋" w:cs="仿宋"/>
          <w:b/>
          <w:bCs/>
          <w:color w:val="0C0C0C" w:themeColor="text1" w:themeTint="F2"/>
          <w:sz w:val="32"/>
          <w:szCs w:val="32"/>
        </w:rPr>
      </w:pPr>
      <w:r>
        <w:rPr>
          <w:rFonts w:hint="eastAsia" w:ascii="仿宋" w:hAnsi="仿宋" w:eastAsia="仿宋" w:cs="仿宋"/>
          <w:b/>
          <w:bCs/>
          <w:color w:val="0C0C0C" w:themeColor="text1" w:themeTint="F2"/>
          <w:sz w:val="32"/>
          <w:szCs w:val="32"/>
        </w:rPr>
        <w:t>根据《201</w:t>
      </w:r>
      <w:r>
        <w:rPr>
          <w:rFonts w:hint="eastAsia" w:ascii="仿宋" w:hAnsi="仿宋" w:eastAsia="仿宋" w:cs="仿宋"/>
          <w:b/>
          <w:bCs/>
          <w:color w:val="0C0C0C" w:themeColor="text1" w:themeTint="F2"/>
          <w:sz w:val="32"/>
          <w:szCs w:val="32"/>
          <w:lang w:val="en-US" w:eastAsia="zh-CN"/>
        </w:rPr>
        <w:t>7</w:t>
      </w:r>
      <w:r>
        <w:rPr>
          <w:rFonts w:hint="eastAsia" w:ascii="仿宋" w:hAnsi="仿宋" w:eastAsia="仿宋" w:cs="仿宋"/>
          <w:b/>
          <w:bCs/>
          <w:color w:val="0C0C0C" w:themeColor="text1" w:themeTint="F2"/>
          <w:sz w:val="32"/>
          <w:szCs w:val="32"/>
        </w:rPr>
        <w:t>年度</w:t>
      </w:r>
      <w:r>
        <w:rPr>
          <w:rFonts w:hint="eastAsia" w:ascii="仿宋" w:hAnsi="仿宋" w:eastAsia="仿宋" w:cs="仿宋"/>
          <w:b/>
          <w:bCs/>
          <w:color w:val="0C0C0C" w:themeColor="text1" w:themeTint="F2"/>
          <w:sz w:val="32"/>
          <w:szCs w:val="32"/>
          <w:lang w:eastAsia="zh-CN"/>
        </w:rPr>
        <w:t>鹤城区城乡居民养老保险</w:t>
      </w:r>
      <w:r>
        <w:rPr>
          <w:rFonts w:hint="eastAsia" w:ascii="仿宋" w:hAnsi="仿宋" w:eastAsia="仿宋" w:cs="仿宋"/>
          <w:b/>
          <w:bCs/>
          <w:color w:val="0C0C0C" w:themeColor="text1" w:themeTint="F2"/>
          <w:sz w:val="32"/>
          <w:szCs w:val="32"/>
        </w:rPr>
        <w:t>专项资金绩效评价评分表》，从项目立项、资金落实、业务管理、财务管理、项目产出、项目绩效6大项指标逐一进行评价打分，我们认为，各个项目支出基本合理、规范、有效，取得了良好的经济收益、社会效益。201</w:t>
      </w:r>
      <w:r>
        <w:rPr>
          <w:rFonts w:hint="eastAsia" w:ascii="仿宋" w:hAnsi="仿宋" w:eastAsia="仿宋" w:cs="仿宋"/>
          <w:b/>
          <w:bCs/>
          <w:color w:val="0C0C0C" w:themeColor="text1" w:themeTint="F2"/>
          <w:sz w:val="32"/>
          <w:szCs w:val="32"/>
          <w:lang w:val="en-US" w:eastAsia="zh-CN"/>
        </w:rPr>
        <w:t>7</w:t>
      </w:r>
      <w:r>
        <w:rPr>
          <w:rFonts w:hint="eastAsia" w:ascii="仿宋" w:hAnsi="仿宋" w:eastAsia="仿宋" w:cs="仿宋"/>
          <w:b/>
          <w:bCs/>
          <w:color w:val="0C0C0C" w:themeColor="text1" w:themeTint="F2"/>
          <w:sz w:val="32"/>
          <w:szCs w:val="32"/>
        </w:rPr>
        <w:t>年度</w:t>
      </w:r>
      <w:r>
        <w:rPr>
          <w:rFonts w:hint="eastAsia" w:ascii="仿宋" w:hAnsi="仿宋" w:eastAsia="仿宋" w:cs="仿宋"/>
          <w:b/>
          <w:bCs/>
          <w:color w:val="0C0C0C" w:themeColor="text1" w:themeTint="F2"/>
          <w:sz w:val="32"/>
          <w:szCs w:val="32"/>
          <w:lang w:eastAsia="zh-CN"/>
        </w:rPr>
        <w:t>鹤城区城乡居民养老保险</w:t>
      </w:r>
      <w:r>
        <w:rPr>
          <w:rFonts w:hint="eastAsia" w:ascii="仿宋" w:hAnsi="仿宋" w:eastAsia="仿宋" w:cs="仿宋"/>
          <w:b/>
          <w:bCs/>
          <w:color w:val="0C0C0C" w:themeColor="text1" w:themeTint="F2"/>
          <w:sz w:val="32"/>
          <w:szCs w:val="32"/>
        </w:rPr>
        <w:t>专项资金绩效评价综合评分为</w:t>
      </w:r>
      <w:r>
        <w:rPr>
          <w:rFonts w:hint="eastAsia" w:ascii="仿宋" w:hAnsi="仿宋" w:eastAsia="仿宋" w:cs="仿宋"/>
          <w:b/>
          <w:bCs/>
          <w:color w:val="0C0C0C" w:themeColor="text1" w:themeTint="F2"/>
          <w:sz w:val="32"/>
          <w:szCs w:val="32"/>
          <w:lang w:val="en-US" w:eastAsia="zh-CN"/>
        </w:rPr>
        <w:t>90</w:t>
      </w:r>
      <w:r>
        <w:rPr>
          <w:rFonts w:hint="eastAsia" w:ascii="仿宋" w:hAnsi="仿宋" w:eastAsia="仿宋" w:cs="仿宋"/>
          <w:b/>
          <w:bCs/>
          <w:color w:val="0C0C0C" w:themeColor="text1" w:themeTint="F2"/>
          <w:sz w:val="32"/>
          <w:szCs w:val="32"/>
        </w:rPr>
        <w:t>分，详见附表201</w:t>
      </w:r>
      <w:r>
        <w:rPr>
          <w:rFonts w:hint="eastAsia" w:ascii="仿宋" w:hAnsi="仿宋" w:eastAsia="仿宋" w:cs="仿宋"/>
          <w:b/>
          <w:bCs/>
          <w:color w:val="0C0C0C" w:themeColor="text1" w:themeTint="F2"/>
          <w:sz w:val="32"/>
          <w:szCs w:val="32"/>
          <w:lang w:val="en-US" w:eastAsia="zh-CN"/>
        </w:rPr>
        <w:t>7</w:t>
      </w:r>
      <w:r>
        <w:rPr>
          <w:rFonts w:hint="eastAsia" w:ascii="仿宋" w:hAnsi="仿宋" w:eastAsia="仿宋" w:cs="仿宋"/>
          <w:b/>
          <w:bCs/>
          <w:color w:val="0C0C0C" w:themeColor="text1" w:themeTint="F2"/>
          <w:sz w:val="32"/>
          <w:szCs w:val="32"/>
        </w:rPr>
        <w:t>年度</w:t>
      </w:r>
      <w:r>
        <w:rPr>
          <w:rFonts w:hint="eastAsia" w:ascii="仿宋" w:hAnsi="仿宋" w:eastAsia="仿宋" w:cs="仿宋"/>
          <w:b/>
          <w:bCs/>
          <w:color w:val="0C0C0C" w:themeColor="text1" w:themeTint="F2"/>
          <w:sz w:val="32"/>
          <w:szCs w:val="32"/>
          <w:lang w:eastAsia="zh-CN"/>
        </w:rPr>
        <w:t>鹤城区城乡居民养老保险</w:t>
      </w:r>
      <w:r>
        <w:rPr>
          <w:rFonts w:hint="eastAsia" w:ascii="仿宋" w:hAnsi="仿宋" w:eastAsia="仿宋" w:cs="仿宋"/>
          <w:b/>
          <w:bCs/>
          <w:color w:val="0C0C0C" w:themeColor="text1" w:themeTint="F2"/>
          <w:sz w:val="32"/>
          <w:szCs w:val="32"/>
        </w:rPr>
        <w:t>专项资金绩效评价评分表，</w:t>
      </w:r>
      <w:r>
        <w:rPr>
          <w:rFonts w:hint="eastAsia" w:ascii="仿宋" w:hAnsi="仿宋" w:eastAsia="仿宋" w:cs="仿宋"/>
          <w:b/>
          <w:bCs/>
          <w:color w:val="000000"/>
          <w:sz w:val="32"/>
          <w:szCs w:val="32"/>
        </w:rPr>
        <w:t>综合绩效评价等级为“</w:t>
      </w:r>
      <w:r>
        <w:rPr>
          <w:rFonts w:hint="eastAsia" w:ascii="仿宋" w:hAnsi="仿宋" w:eastAsia="仿宋" w:cs="仿宋"/>
          <w:b/>
          <w:bCs/>
          <w:color w:val="000000"/>
          <w:sz w:val="32"/>
          <w:szCs w:val="32"/>
          <w:lang w:eastAsia="zh-CN"/>
        </w:rPr>
        <w:t>优秀</w:t>
      </w:r>
      <w:r>
        <w:rPr>
          <w:rFonts w:hint="eastAsia" w:ascii="仿宋" w:hAnsi="仿宋" w:eastAsia="仿宋" w:cs="仿宋"/>
          <w:b/>
          <w:bCs/>
          <w:color w:val="000000"/>
          <w:sz w:val="32"/>
          <w:szCs w:val="32"/>
        </w:rPr>
        <w:t>”。</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五、主要经验、存在的问题和对策建议</w:t>
      </w:r>
    </w:p>
    <w:p>
      <w:pPr>
        <w:ind w:firstLine="321" w:firstLineChars="100"/>
        <w:rPr>
          <w:rFonts w:hint="eastAsia" w:ascii="仿宋" w:hAnsi="仿宋" w:eastAsia="仿宋" w:cs="仿宋"/>
          <w:b/>
          <w:bCs/>
          <w:sz w:val="32"/>
          <w:szCs w:val="32"/>
        </w:rPr>
      </w:pPr>
      <w:r>
        <w:rPr>
          <w:rFonts w:hint="eastAsia" w:ascii="仿宋" w:hAnsi="仿宋" w:eastAsia="仿宋" w:cs="仿宋"/>
          <w:b/>
          <w:bCs/>
          <w:sz w:val="32"/>
          <w:szCs w:val="32"/>
        </w:rPr>
        <w:t>（一）、主要经验</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城乡居民养老保险的执行，推动了</w:t>
      </w:r>
      <w:r>
        <w:rPr>
          <w:rFonts w:hint="eastAsia" w:ascii="仿宋" w:hAnsi="仿宋" w:eastAsia="仿宋" w:cs="仿宋"/>
          <w:b/>
          <w:bCs/>
          <w:sz w:val="32"/>
          <w:szCs w:val="32"/>
        </w:rPr>
        <w:t>推动城乡居民基本养老保险待遇水平随经济发展逐步提高，确保参保居民共享经济社会发展成果。城乡居民社会养老保险实行个人缴费和政府补贴相结合的政策，个人缴的钱始终是自己的，参保期内如果遇到土地被征用参加</w:t>
      </w:r>
      <w:r>
        <w:rPr>
          <w:rFonts w:hint="eastAsia" w:ascii="仿宋" w:hAnsi="仿宋" w:eastAsia="仿宋" w:cs="仿宋"/>
          <w:b/>
          <w:bCs/>
          <w:sz w:val="32"/>
          <w:szCs w:val="32"/>
          <w:lang w:eastAsia="zh-CN"/>
        </w:rPr>
        <w:t>了</w:t>
      </w:r>
      <w:r>
        <w:rPr>
          <w:rFonts w:hint="eastAsia" w:ascii="仿宋" w:hAnsi="仿宋" w:eastAsia="仿宋" w:cs="仿宋"/>
          <w:b/>
          <w:bCs/>
          <w:sz w:val="32"/>
          <w:szCs w:val="32"/>
        </w:rPr>
        <w:t>被征地“农转非”养老保险、或者到企业工作参加职工基本养老保险等情况，个人缴的钱与新的保险有效衔接</w:t>
      </w:r>
      <w:r>
        <w:rPr>
          <w:rFonts w:hint="eastAsia" w:ascii="仿宋" w:hAnsi="仿宋" w:eastAsia="仿宋" w:cs="仿宋"/>
          <w:b/>
          <w:bCs/>
          <w:sz w:val="32"/>
          <w:szCs w:val="32"/>
          <w:lang w:eastAsia="zh-CN"/>
        </w:rPr>
        <w:t>。另</w:t>
      </w:r>
      <w:r>
        <w:rPr>
          <w:rFonts w:hint="eastAsia" w:ascii="仿宋" w:hAnsi="仿宋" w:eastAsia="仿宋" w:cs="仿宋"/>
          <w:b/>
          <w:bCs/>
          <w:sz w:val="32"/>
          <w:szCs w:val="32"/>
        </w:rPr>
        <w:t>参保人员未领到待遇就去世，</w:t>
      </w:r>
      <w:r>
        <w:rPr>
          <w:rFonts w:hint="eastAsia" w:ascii="仿宋" w:hAnsi="仿宋" w:eastAsia="仿宋" w:cs="仿宋"/>
          <w:b/>
          <w:bCs/>
          <w:sz w:val="32"/>
          <w:szCs w:val="32"/>
          <w:lang w:eastAsia="zh-CN"/>
        </w:rPr>
        <w:t>或个人账户上的钱未领取完就去世的，</w:t>
      </w:r>
      <w:r>
        <w:rPr>
          <w:rFonts w:hint="eastAsia" w:ascii="仿宋" w:hAnsi="仿宋" w:eastAsia="仿宋" w:cs="仿宋"/>
          <w:b/>
          <w:bCs/>
          <w:sz w:val="32"/>
          <w:szCs w:val="32"/>
        </w:rPr>
        <w:t>个人缴费</w:t>
      </w:r>
      <w:r>
        <w:rPr>
          <w:rFonts w:hint="eastAsia" w:ascii="仿宋" w:hAnsi="仿宋" w:eastAsia="仿宋" w:cs="仿宋"/>
          <w:b/>
          <w:bCs/>
          <w:sz w:val="32"/>
          <w:szCs w:val="32"/>
          <w:lang w:eastAsia="zh-CN"/>
        </w:rPr>
        <w:t>、政府补贴及</w:t>
      </w:r>
      <w:r>
        <w:rPr>
          <w:rFonts w:hint="eastAsia" w:ascii="仿宋" w:hAnsi="仿宋" w:eastAsia="仿宋" w:cs="仿宋"/>
          <w:b/>
          <w:bCs/>
          <w:sz w:val="32"/>
          <w:szCs w:val="32"/>
        </w:rPr>
        <w:t>利息都要退给子女或其他继承人，个人永远不吃亏。</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参加城</w:t>
      </w:r>
      <w:r>
        <w:rPr>
          <w:rFonts w:hint="eastAsia" w:ascii="仿宋" w:hAnsi="仿宋" w:eastAsia="仿宋" w:cs="仿宋"/>
          <w:b/>
          <w:bCs/>
          <w:sz w:val="32"/>
          <w:szCs w:val="32"/>
          <w:lang w:eastAsia="zh-CN"/>
        </w:rPr>
        <w:t>乡</w:t>
      </w:r>
      <w:r>
        <w:rPr>
          <w:rFonts w:hint="eastAsia" w:ascii="仿宋" w:hAnsi="仿宋" w:eastAsia="仿宋" w:cs="仿宋"/>
          <w:b/>
          <w:bCs/>
          <w:sz w:val="32"/>
          <w:szCs w:val="32"/>
        </w:rPr>
        <w:t>居民养老保险的</w:t>
      </w:r>
      <w:r>
        <w:rPr>
          <w:rFonts w:hint="eastAsia" w:ascii="仿宋" w:hAnsi="仿宋" w:eastAsia="仿宋" w:cs="仿宋"/>
          <w:b/>
          <w:bCs/>
          <w:sz w:val="32"/>
          <w:szCs w:val="32"/>
          <w:lang w:eastAsia="zh-CN"/>
        </w:rPr>
        <w:t>城乡</w:t>
      </w:r>
      <w:r>
        <w:rPr>
          <w:rFonts w:hint="eastAsia" w:ascii="仿宋" w:hAnsi="仿宋" w:eastAsia="仿宋" w:cs="仿宋"/>
          <w:b/>
          <w:bCs/>
          <w:sz w:val="32"/>
          <w:szCs w:val="32"/>
        </w:rPr>
        <w:t>居民，年满60周岁，可按月领取养老金</w:t>
      </w:r>
      <w:r>
        <w:rPr>
          <w:rFonts w:hint="eastAsia" w:ascii="仿宋" w:hAnsi="仿宋" w:eastAsia="仿宋" w:cs="仿宋"/>
          <w:b/>
          <w:bCs/>
          <w:sz w:val="32"/>
          <w:szCs w:val="32"/>
          <w:lang w:eastAsia="zh-CN"/>
        </w:rPr>
        <w:t>，并实现了社会化发放，确保了基金的安全</w:t>
      </w:r>
      <w:r>
        <w:rPr>
          <w:rFonts w:hint="eastAsia" w:ascii="仿宋" w:hAnsi="仿宋" w:eastAsia="仿宋" w:cs="仿宋"/>
          <w:b/>
          <w:bCs/>
          <w:sz w:val="32"/>
          <w:szCs w:val="32"/>
        </w:rPr>
        <w:t>。基本的生活保障是很多老年人的需求，在老年的时候本身就没有劳动力，没有经济收入，有了城</w:t>
      </w:r>
      <w:r>
        <w:rPr>
          <w:rFonts w:hint="eastAsia" w:ascii="仿宋" w:hAnsi="仿宋" w:eastAsia="仿宋" w:cs="仿宋"/>
          <w:b/>
          <w:bCs/>
          <w:sz w:val="32"/>
          <w:szCs w:val="32"/>
          <w:lang w:eastAsia="zh-CN"/>
        </w:rPr>
        <w:t>乡</w:t>
      </w:r>
      <w:r>
        <w:rPr>
          <w:rFonts w:hint="eastAsia" w:ascii="仿宋" w:hAnsi="仿宋" w:eastAsia="仿宋" w:cs="仿宋"/>
          <w:b/>
          <w:bCs/>
          <w:sz w:val="32"/>
          <w:szCs w:val="32"/>
        </w:rPr>
        <w:t>居民养老保险之后就可以及时的获得保障。实现老有所养</w:t>
      </w:r>
      <w:r>
        <w:rPr>
          <w:rFonts w:hint="eastAsia" w:ascii="仿宋" w:hAnsi="仿宋" w:eastAsia="仿宋" w:cs="仿宋"/>
          <w:b/>
          <w:bCs/>
          <w:sz w:val="32"/>
          <w:szCs w:val="32"/>
          <w:lang w:eastAsia="zh-CN"/>
        </w:rPr>
        <w:t>，并</w:t>
      </w:r>
      <w:r>
        <w:rPr>
          <w:rFonts w:hint="eastAsia" w:ascii="仿宋" w:hAnsi="仿宋" w:eastAsia="仿宋" w:cs="仿宋"/>
          <w:b/>
          <w:bCs/>
          <w:sz w:val="32"/>
          <w:szCs w:val="32"/>
        </w:rPr>
        <w:t>减轻子女赡养负担</w:t>
      </w:r>
      <w:r>
        <w:rPr>
          <w:rFonts w:hint="eastAsia" w:ascii="仿宋" w:hAnsi="仿宋" w:eastAsia="仿宋" w:cs="仿宋"/>
          <w:b/>
          <w:bCs/>
          <w:sz w:val="32"/>
          <w:szCs w:val="32"/>
          <w:lang w:eastAsia="zh-CN"/>
        </w:rPr>
        <w:t>，</w:t>
      </w:r>
      <w:r>
        <w:rPr>
          <w:rFonts w:hint="eastAsia" w:ascii="仿宋" w:hAnsi="仿宋" w:eastAsia="仿宋" w:cs="仿宋"/>
          <w:b/>
          <w:bCs/>
          <w:sz w:val="32"/>
          <w:szCs w:val="32"/>
        </w:rPr>
        <w:t>促进</w:t>
      </w:r>
      <w:r>
        <w:rPr>
          <w:rFonts w:hint="eastAsia" w:ascii="仿宋" w:hAnsi="仿宋" w:eastAsia="仿宋" w:cs="仿宋"/>
          <w:b/>
          <w:bCs/>
          <w:sz w:val="32"/>
          <w:szCs w:val="32"/>
          <w:lang w:eastAsia="zh-CN"/>
        </w:rPr>
        <w:t>了</w:t>
      </w:r>
      <w:r>
        <w:rPr>
          <w:rFonts w:hint="eastAsia" w:ascii="仿宋" w:hAnsi="仿宋" w:eastAsia="仿宋" w:cs="仿宋"/>
          <w:b/>
          <w:bCs/>
          <w:sz w:val="32"/>
          <w:szCs w:val="32"/>
        </w:rPr>
        <w:t>社会和谐稳定。</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存在的问题</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rPr>
        <w:t>建立</w:t>
      </w:r>
      <w:r>
        <w:rPr>
          <w:rFonts w:hint="eastAsia" w:ascii="仿宋" w:hAnsi="仿宋" w:eastAsia="仿宋" w:cs="仿宋"/>
          <w:b/>
          <w:bCs/>
          <w:sz w:val="32"/>
          <w:szCs w:val="32"/>
          <w:lang w:eastAsia="zh-CN"/>
        </w:rPr>
        <w:t>城乡</w:t>
      </w:r>
      <w:r>
        <w:rPr>
          <w:rFonts w:hint="eastAsia" w:ascii="仿宋" w:hAnsi="仿宋" w:eastAsia="仿宋" w:cs="仿宋"/>
          <w:b/>
          <w:bCs/>
          <w:sz w:val="32"/>
          <w:szCs w:val="32"/>
        </w:rPr>
        <w:t>居民社会保险制度是一件利国惠民、促进社会和谐的大好事。但是好事要办好，却并不容易，相关制度建设任重道远</w:t>
      </w:r>
      <w:r>
        <w:rPr>
          <w:rFonts w:hint="eastAsia" w:ascii="仿宋" w:hAnsi="仿宋" w:eastAsia="仿宋" w:cs="仿宋"/>
          <w:b/>
          <w:bCs/>
          <w:sz w:val="32"/>
          <w:szCs w:val="32"/>
          <w:lang w:eastAsia="zh-CN"/>
        </w:rPr>
        <w:t>。</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1、养老保险制度存在差异。</w:t>
      </w:r>
      <w:r>
        <w:rPr>
          <w:rFonts w:hint="eastAsia" w:ascii="仿宋" w:hAnsi="仿宋" w:eastAsia="仿宋" w:cs="仿宋"/>
          <w:b/>
          <w:bCs/>
          <w:sz w:val="32"/>
          <w:szCs w:val="32"/>
        </w:rPr>
        <w:t>一直以来，我国养老保险制度饱受诟病的就是其"碎片化"格局:城乡之间、企业与机关事业单位之间分别适用不同的基本养老保障制度，地区之间差异也较大，不仅造成了保障水平的不公平，而且实质上将我国整体劳动力市场分割成很多块块，制约了劳动力的有序、有效和合理流动，也不能适应我国市场经济日趋成熟条件下的劳动力快速流动与不断重新优化配置的基本要求。尽管养老保险在制度上实现了全覆盖，但还没有解决在统一社保法下存在的几个的养老保险制度间待遇差距较大的问题。</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2、养老保险出现断保现象。年满</w:t>
      </w:r>
      <w:r>
        <w:rPr>
          <w:rFonts w:hint="eastAsia" w:ascii="仿宋" w:hAnsi="仿宋" w:eastAsia="仿宋" w:cs="仿宋"/>
          <w:b/>
          <w:bCs/>
          <w:sz w:val="32"/>
          <w:szCs w:val="32"/>
        </w:rPr>
        <w:t>60周岁以上老人不缴费</w:t>
      </w:r>
      <w:r>
        <w:rPr>
          <w:rFonts w:hint="eastAsia" w:ascii="仿宋" w:hAnsi="仿宋" w:eastAsia="仿宋" w:cs="仿宋"/>
          <w:b/>
          <w:bCs/>
          <w:sz w:val="32"/>
          <w:szCs w:val="32"/>
          <w:lang w:eastAsia="zh-CN"/>
        </w:rPr>
        <w:t>，</w:t>
      </w:r>
      <w:r>
        <w:rPr>
          <w:rFonts w:hint="eastAsia" w:ascii="仿宋" w:hAnsi="仿宋" w:eastAsia="仿宋" w:cs="仿宋"/>
          <w:b/>
          <w:bCs/>
          <w:sz w:val="32"/>
          <w:szCs w:val="32"/>
        </w:rPr>
        <w:t>参保以子女参保为前提条件，在</w:t>
      </w:r>
      <w:r>
        <w:rPr>
          <w:rFonts w:hint="eastAsia" w:ascii="仿宋" w:hAnsi="仿宋" w:eastAsia="仿宋" w:cs="仿宋"/>
          <w:b/>
          <w:bCs/>
          <w:sz w:val="32"/>
          <w:szCs w:val="32"/>
          <w:lang w:eastAsia="zh-CN"/>
        </w:rPr>
        <w:t>城乡</w:t>
      </w:r>
      <w:r>
        <w:rPr>
          <w:rFonts w:hint="eastAsia" w:ascii="仿宋" w:hAnsi="仿宋" w:eastAsia="仿宋" w:cs="仿宋"/>
          <w:b/>
          <w:bCs/>
          <w:sz w:val="32"/>
          <w:szCs w:val="32"/>
        </w:rPr>
        <w:t>居民家庭结构复杂的情况下不便操作，同时也会导致子女初次低标准参保、甚至过后不续保的情况出现，</w:t>
      </w:r>
      <w:r>
        <w:rPr>
          <w:rFonts w:hint="eastAsia" w:ascii="仿宋" w:hAnsi="仿宋" w:eastAsia="仿宋" w:cs="仿宋"/>
          <w:b/>
          <w:bCs/>
          <w:sz w:val="32"/>
          <w:szCs w:val="32"/>
          <w:lang w:eastAsia="zh-CN"/>
        </w:rPr>
        <w:t>直接</w:t>
      </w:r>
      <w:r>
        <w:rPr>
          <w:rFonts w:hint="eastAsia" w:ascii="仿宋" w:hAnsi="仿宋" w:eastAsia="仿宋" w:cs="仿宋"/>
          <w:b/>
          <w:bCs/>
          <w:sz w:val="32"/>
          <w:szCs w:val="32"/>
        </w:rPr>
        <w:t>影响到政策的效率和连续性。</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（三）、对策建议</w:t>
      </w:r>
    </w:p>
    <w:p>
      <w:pPr>
        <w:ind w:firstLine="964" w:firstLineChars="3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实现养老保险制度的统一性和公平性。</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增强制度激励，尽快从"制度全覆盖"走到"人群全覆盖",</w:t>
      </w:r>
      <w:r>
        <w:rPr>
          <w:rFonts w:hint="eastAsia" w:ascii="仿宋" w:hAnsi="仿宋" w:eastAsia="仿宋" w:cs="仿宋"/>
          <w:b/>
          <w:bCs/>
          <w:sz w:val="32"/>
          <w:szCs w:val="32"/>
          <w:lang w:eastAsia="zh-CN"/>
        </w:rPr>
        <w:t>城乡</w:t>
      </w:r>
      <w:r>
        <w:rPr>
          <w:rFonts w:hint="eastAsia" w:ascii="仿宋" w:hAnsi="仿宋" w:eastAsia="仿宋" w:cs="仿宋"/>
          <w:b/>
          <w:bCs/>
          <w:sz w:val="32"/>
          <w:szCs w:val="32"/>
        </w:rPr>
        <w:t>居民社会养老保险实行自愿参保，因此制度的激励性就显得尤为关键。</w:t>
      </w:r>
      <w:r>
        <w:rPr>
          <w:rFonts w:hint="eastAsia" w:ascii="仿宋" w:hAnsi="仿宋" w:eastAsia="仿宋" w:cs="仿宋"/>
          <w:b/>
          <w:bCs/>
          <w:sz w:val="32"/>
          <w:szCs w:val="32"/>
          <w:lang w:eastAsia="zh-CN"/>
        </w:rPr>
        <w:t>在</w:t>
      </w:r>
      <w:r>
        <w:rPr>
          <w:rFonts w:hint="eastAsia" w:ascii="仿宋" w:hAnsi="仿宋" w:eastAsia="仿宋" w:cs="仿宋"/>
          <w:b/>
          <w:bCs/>
          <w:sz w:val="32"/>
          <w:szCs w:val="32"/>
        </w:rPr>
        <w:t>制度设计</w:t>
      </w:r>
      <w:r>
        <w:rPr>
          <w:rFonts w:hint="eastAsia" w:ascii="仿宋" w:hAnsi="仿宋" w:eastAsia="仿宋" w:cs="仿宋"/>
          <w:b/>
          <w:bCs/>
          <w:sz w:val="32"/>
          <w:szCs w:val="32"/>
          <w:lang w:eastAsia="zh-CN"/>
        </w:rPr>
        <w:t>上</w:t>
      </w:r>
      <w:r>
        <w:rPr>
          <w:rFonts w:hint="eastAsia" w:ascii="仿宋" w:hAnsi="仿宋" w:eastAsia="仿宋" w:cs="仿宋"/>
          <w:b/>
          <w:bCs/>
          <w:sz w:val="32"/>
          <w:szCs w:val="32"/>
        </w:rPr>
        <w:t>要充分考虑对某些年龄阶段参保对象的引导和鼓励。按照现行政策参保，缴足15年并满60周岁后，领取的基础养老金均为每人每月</w:t>
      </w:r>
      <w:r>
        <w:rPr>
          <w:rFonts w:hint="eastAsia" w:ascii="仿宋" w:hAnsi="仿宋" w:eastAsia="仿宋" w:cs="仿宋"/>
          <w:b/>
          <w:bCs/>
          <w:sz w:val="32"/>
          <w:szCs w:val="32"/>
          <w:lang w:val="en-US" w:eastAsia="zh-CN"/>
        </w:rPr>
        <w:t>80</w:t>
      </w:r>
      <w:r>
        <w:rPr>
          <w:rFonts w:hint="eastAsia" w:ascii="仿宋" w:hAnsi="仿宋" w:eastAsia="仿宋" w:cs="仿宋"/>
          <w:b/>
          <w:bCs/>
          <w:sz w:val="32"/>
          <w:szCs w:val="32"/>
        </w:rPr>
        <w:t>元，没有体现出参保时间的长短区别，</w:t>
      </w:r>
      <w:r>
        <w:rPr>
          <w:rFonts w:hint="eastAsia" w:ascii="仿宋" w:hAnsi="仿宋" w:eastAsia="仿宋" w:cs="仿宋"/>
          <w:b/>
          <w:bCs/>
          <w:sz w:val="32"/>
          <w:szCs w:val="32"/>
          <w:lang w:eastAsia="zh-CN"/>
        </w:rPr>
        <w:t>同样的缴费满</w:t>
      </w:r>
      <w:r>
        <w:rPr>
          <w:rFonts w:hint="eastAsia" w:ascii="仿宋" w:hAnsi="仿宋" w:eastAsia="仿宋" w:cs="仿宋"/>
          <w:b/>
          <w:bCs/>
          <w:sz w:val="32"/>
          <w:szCs w:val="32"/>
          <w:lang w:val="en-US" w:eastAsia="zh-CN"/>
        </w:rPr>
        <w:t>15年后每多缴1年增加1元补贴标准过低，</w:t>
      </w:r>
      <w:r>
        <w:rPr>
          <w:rFonts w:hint="eastAsia" w:ascii="仿宋" w:hAnsi="仿宋" w:eastAsia="仿宋" w:cs="仿宋"/>
          <w:b/>
          <w:bCs/>
          <w:sz w:val="32"/>
          <w:szCs w:val="32"/>
        </w:rPr>
        <w:t>将可能导致16至40周岁青年人特别是35岁以下的居民不愿尽早参保。</w:t>
      </w:r>
    </w:p>
    <w:p>
      <w:pPr>
        <w:ind w:firstLine="964" w:firstLineChars="300"/>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缴费补贴应充分体现多缴多补。若缴费档次按每人每年</w:t>
      </w:r>
      <w:r>
        <w:rPr>
          <w:rFonts w:hint="eastAsia" w:ascii="仿宋" w:hAnsi="仿宋" w:eastAsia="仿宋" w:cs="仿宋"/>
          <w:b/>
          <w:bCs/>
          <w:sz w:val="32"/>
          <w:szCs w:val="32"/>
          <w:lang w:val="en-US" w:eastAsia="zh-CN"/>
        </w:rPr>
        <w:t>30元、40元、60元仅三个标准</w:t>
      </w:r>
      <w:r>
        <w:rPr>
          <w:rFonts w:hint="eastAsia" w:ascii="仿宋" w:hAnsi="仿宋" w:eastAsia="仿宋" w:cs="仿宋"/>
          <w:b/>
          <w:bCs/>
          <w:sz w:val="32"/>
          <w:szCs w:val="32"/>
        </w:rPr>
        <w:t>补贴，会导致多数民众在缴费标准选择上偏向于"从低"。表明补贴政策不能有效激励高档次缴费参保，部分有较高缴费能力的对象却选择低标准缴费。</w:t>
      </w:r>
    </w:p>
    <w:p>
      <w:pPr>
        <w:ind w:firstLine="964" w:firstLineChars="300"/>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处理好制度间的衔接转换问题。基本养老保险关系转移接续不畅，造成农民工等流动人口参保积极性不高，甚至退保。</w:t>
      </w:r>
      <w:r>
        <w:rPr>
          <w:rFonts w:hint="eastAsia" w:ascii="仿宋" w:hAnsi="仿宋" w:eastAsia="仿宋" w:cs="仿宋"/>
          <w:b/>
          <w:bCs/>
          <w:sz w:val="32"/>
          <w:szCs w:val="32"/>
          <w:lang w:eastAsia="zh-CN"/>
        </w:rPr>
        <w:t>虽然</w:t>
      </w:r>
      <w:r>
        <w:rPr>
          <w:rFonts w:hint="eastAsia" w:ascii="仿宋" w:hAnsi="仿宋" w:eastAsia="仿宋" w:cs="仿宋"/>
          <w:b/>
          <w:bCs/>
          <w:sz w:val="32"/>
          <w:szCs w:val="32"/>
        </w:rPr>
        <w:t>做了不少努力，</w:t>
      </w:r>
      <w:r>
        <w:rPr>
          <w:rFonts w:hint="eastAsia" w:ascii="仿宋" w:hAnsi="仿宋" w:eastAsia="仿宋" w:cs="仿宋"/>
          <w:b/>
          <w:bCs/>
          <w:sz w:val="32"/>
          <w:szCs w:val="32"/>
          <w:lang w:eastAsia="zh-CN"/>
        </w:rPr>
        <w:t>并</w:t>
      </w:r>
      <w:r>
        <w:rPr>
          <w:rFonts w:hint="eastAsia" w:ascii="仿宋" w:hAnsi="仿宋" w:eastAsia="仿宋" w:cs="仿宋"/>
          <w:b/>
          <w:bCs/>
          <w:sz w:val="32"/>
          <w:szCs w:val="32"/>
        </w:rPr>
        <w:t>出台了相关政策措施《</w:t>
      </w:r>
      <w:r>
        <w:rPr>
          <w:rFonts w:hint="eastAsia" w:ascii="仿宋" w:hAnsi="仿宋" w:eastAsia="仿宋" w:cs="仿宋"/>
          <w:b/>
          <w:bCs/>
          <w:sz w:val="32"/>
          <w:szCs w:val="32"/>
          <w:lang w:eastAsia="zh-CN"/>
        </w:rPr>
        <w:t>城乡</w:t>
      </w:r>
      <w:r>
        <w:rPr>
          <w:rFonts w:hint="eastAsia" w:ascii="仿宋" w:hAnsi="仿宋" w:eastAsia="仿宋" w:cs="仿宋"/>
          <w:b/>
          <w:bCs/>
          <w:sz w:val="32"/>
          <w:szCs w:val="32"/>
        </w:rPr>
        <w:t>企业职工基本养老保险关系转移接续暂行办法》，但仍需进一步完善。</w:t>
      </w:r>
    </w:p>
    <w:p>
      <w:pPr>
        <w:ind w:firstLine="964" w:firstLineChars="300"/>
        <w:rPr>
          <w:rFonts w:hint="eastAsia" w:ascii="仿宋" w:hAnsi="仿宋" w:eastAsia="仿宋" w:cs="仿宋"/>
          <w:b/>
          <w:bCs/>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确保基金的保值增值。按照现行制度，</w:t>
      </w:r>
      <w:r>
        <w:rPr>
          <w:rFonts w:hint="eastAsia" w:ascii="仿宋" w:hAnsi="仿宋" w:eastAsia="仿宋" w:cs="仿宋"/>
          <w:b/>
          <w:bCs/>
          <w:sz w:val="32"/>
          <w:szCs w:val="32"/>
          <w:lang w:eastAsia="zh-CN"/>
        </w:rPr>
        <w:t>城乡</w:t>
      </w:r>
      <w:r>
        <w:rPr>
          <w:rFonts w:hint="eastAsia" w:ascii="仿宋" w:hAnsi="仿宋" w:eastAsia="仿宋" w:cs="仿宋"/>
          <w:b/>
          <w:bCs/>
          <w:sz w:val="32"/>
          <w:szCs w:val="32"/>
        </w:rPr>
        <w:t>居民社会养老保险个人账户将是"实账"，可以为强制储蓄计划，会形成资金沉淀。但是只按一年期银行利率来计息，资金效益不高。</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随着城</w:t>
      </w:r>
      <w:r>
        <w:rPr>
          <w:rFonts w:hint="eastAsia" w:ascii="仿宋" w:hAnsi="仿宋" w:eastAsia="仿宋" w:cs="仿宋"/>
          <w:b/>
          <w:bCs/>
          <w:sz w:val="32"/>
          <w:szCs w:val="32"/>
          <w:lang w:eastAsia="zh-CN"/>
        </w:rPr>
        <w:t>乡</w:t>
      </w:r>
      <w:r>
        <w:rPr>
          <w:rFonts w:hint="eastAsia" w:ascii="仿宋" w:hAnsi="仿宋" w:eastAsia="仿宋" w:cs="仿宋"/>
          <w:b/>
          <w:bCs/>
          <w:sz w:val="32"/>
          <w:szCs w:val="32"/>
        </w:rPr>
        <w:t>居民社会养老保险制度的建立，我国全民享有社会养老保险的整体框架已经形成</w:t>
      </w:r>
      <w:r>
        <w:rPr>
          <w:rFonts w:hint="eastAsia" w:ascii="仿宋" w:hAnsi="仿宋" w:eastAsia="仿宋" w:cs="仿宋"/>
          <w:b/>
          <w:bCs/>
          <w:sz w:val="32"/>
          <w:szCs w:val="32"/>
          <w:lang w:eastAsia="zh-CN"/>
        </w:rPr>
        <w:t>，</w:t>
      </w:r>
      <w:r>
        <w:rPr>
          <w:rFonts w:hint="eastAsia" w:ascii="仿宋" w:hAnsi="仿宋" w:eastAsia="仿宋" w:cs="仿宋"/>
          <w:b/>
          <w:bCs/>
          <w:sz w:val="32"/>
          <w:szCs w:val="32"/>
        </w:rPr>
        <w:t>进一步完善体制机制，共同推进全民社会养老保障的公平、普惠和可持续发展。</w:t>
      </w: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附件：</w:t>
      </w:r>
    </w:p>
    <w:p>
      <w:pPr>
        <w:widowControl/>
        <w:numPr>
          <w:ilvl w:val="0"/>
          <w:numId w:val="2"/>
        </w:numPr>
        <w:spacing w:before="150" w:line="33" w:lineRule="atLeast"/>
        <w:ind w:firstLine="420"/>
        <w:jc w:val="left"/>
        <w:rPr>
          <w:rFonts w:hint="eastAsia" w:ascii="仿宋" w:hAnsi="仿宋" w:eastAsia="仿宋" w:cs="仿宋"/>
          <w:b/>
          <w:bCs/>
          <w:kern w:val="0"/>
          <w:sz w:val="32"/>
          <w:szCs w:val="32"/>
          <w:lang w:eastAsia="zh-CN"/>
        </w:rPr>
      </w:pPr>
      <w:r>
        <w:rPr>
          <w:rFonts w:hint="eastAsia" w:ascii="仿宋" w:hAnsi="仿宋" w:eastAsia="仿宋" w:cs="仿宋"/>
          <w:b/>
          <w:bCs/>
          <w:kern w:val="0"/>
          <w:sz w:val="32"/>
          <w:szCs w:val="32"/>
          <w:lang w:eastAsia="zh-CN"/>
        </w:rPr>
        <w:t>鹤城区2017年度城乡居民养老保险基金收支明细表</w:t>
      </w:r>
    </w:p>
    <w:p>
      <w:pPr>
        <w:widowControl/>
        <w:numPr>
          <w:ilvl w:val="0"/>
          <w:numId w:val="0"/>
        </w:numPr>
        <w:spacing w:before="150" w:line="33" w:lineRule="atLeast"/>
        <w:ind w:firstLine="321" w:firstLineChars="1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2、</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年度专项资金绩效评价评分表</w:t>
      </w:r>
    </w:p>
    <w:p>
      <w:pPr>
        <w:widowControl/>
        <w:spacing w:before="150" w:line="33" w:lineRule="atLeast"/>
        <w:ind w:firstLine="420"/>
        <w:jc w:val="left"/>
        <w:rPr>
          <w:rFonts w:hint="eastAsia" w:ascii="仿宋" w:hAnsi="仿宋" w:eastAsia="仿宋" w:cs="仿宋"/>
          <w:b/>
          <w:bCs/>
          <w:kern w:val="0"/>
          <w:sz w:val="32"/>
          <w:szCs w:val="32"/>
        </w:rPr>
      </w:pPr>
    </w:p>
    <w:p>
      <w:pPr>
        <w:widowControl/>
        <w:spacing w:before="150" w:line="33" w:lineRule="atLeast"/>
        <w:ind w:firstLine="420"/>
        <w:jc w:val="left"/>
        <w:rPr>
          <w:rFonts w:hint="eastAsia" w:ascii="仿宋" w:hAnsi="仿宋" w:eastAsia="仿宋" w:cs="仿宋"/>
          <w:b/>
          <w:bCs/>
          <w:kern w:val="0"/>
          <w:sz w:val="32"/>
          <w:szCs w:val="32"/>
        </w:rPr>
      </w:pPr>
    </w:p>
    <w:p>
      <w:pPr>
        <w:widowControl/>
        <w:spacing w:before="150" w:line="33" w:lineRule="atLeast"/>
        <w:ind w:firstLine="420"/>
        <w:jc w:val="left"/>
        <w:rPr>
          <w:rFonts w:hint="eastAsia" w:ascii="仿宋" w:hAnsi="仿宋" w:eastAsia="仿宋" w:cs="仿宋"/>
          <w:b/>
          <w:bCs/>
          <w:kern w:val="0"/>
          <w:sz w:val="32"/>
          <w:szCs w:val="32"/>
          <w:lang w:eastAsia="zh-CN"/>
        </w:rPr>
      </w:pPr>
    </w:p>
    <w:p>
      <w:pPr>
        <w:widowControl/>
        <w:spacing w:before="150" w:line="33" w:lineRule="atLeast"/>
        <w:ind w:firstLine="420"/>
        <w:jc w:val="left"/>
        <w:rPr>
          <w:rFonts w:hint="eastAsia" w:ascii="仿宋" w:hAnsi="仿宋" w:eastAsia="仿宋" w:cs="仿宋"/>
          <w:b/>
          <w:bCs/>
          <w:kern w:val="0"/>
          <w:sz w:val="32"/>
          <w:szCs w:val="32"/>
          <w:lang w:eastAsia="zh-CN"/>
        </w:rPr>
      </w:pPr>
    </w:p>
    <w:p>
      <w:pPr>
        <w:widowControl/>
        <w:spacing w:before="150" w:line="33" w:lineRule="atLeast"/>
        <w:ind w:firstLine="420"/>
        <w:jc w:val="left"/>
        <w:rPr>
          <w:rFonts w:hint="eastAsia" w:ascii="仿宋" w:hAnsi="仿宋" w:eastAsia="仿宋" w:cs="仿宋"/>
          <w:b/>
          <w:bCs/>
          <w:kern w:val="0"/>
          <w:sz w:val="32"/>
          <w:szCs w:val="32"/>
        </w:rPr>
      </w:pPr>
    </w:p>
    <w:p>
      <w:pPr>
        <w:tabs>
          <w:tab w:val="left" w:pos="4000"/>
        </w:tabs>
        <w:jc w:val="left"/>
        <w:rPr>
          <w:rFonts w:hint="eastAsia" w:ascii="仿宋" w:hAnsi="仿宋" w:eastAsia="仿宋" w:cs="仿宋"/>
          <w:b/>
          <w:bCs/>
          <w:sz w:val="32"/>
          <w:szCs w:val="32"/>
        </w:rPr>
      </w:pPr>
      <w:r>
        <w:rPr>
          <w:rFonts w:hint="eastAsia" w:ascii="仿宋" w:hAnsi="仿宋" w:eastAsia="仿宋" w:cs="仿宋"/>
          <w:b/>
          <w:bCs/>
          <w:sz w:val="32"/>
          <w:szCs w:val="32"/>
        </w:rPr>
        <w:t xml:space="preserve">恒信弘正会计师事务所有限责任公司怀化分所    </w:t>
      </w:r>
    </w:p>
    <w:p>
      <w:pPr>
        <w:tabs>
          <w:tab w:val="left" w:pos="4000"/>
        </w:tabs>
        <w:ind w:firstLine="4819" w:firstLineChars="1500"/>
        <w:jc w:val="left"/>
        <w:rPr>
          <w:rFonts w:hint="eastAsia" w:ascii="仿宋" w:hAnsi="仿宋" w:eastAsia="仿宋" w:cs="仿宋"/>
          <w:b/>
          <w:bCs/>
          <w:sz w:val="32"/>
          <w:szCs w:val="32"/>
        </w:rPr>
      </w:pPr>
    </w:p>
    <w:p>
      <w:pPr>
        <w:tabs>
          <w:tab w:val="left" w:pos="4000"/>
        </w:tabs>
        <w:jc w:val="center"/>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中国注册会计师：</w:t>
      </w:r>
    </w:p>
    <w:p>
      <w:pPr>
        <w:tabs>
          <w:tab w:val="left" w:pos="4000"/>
        </w:tabs>
        <w:ind w:firstLine="803" w:firstLineChars="250"/>
        <w:jc w:val="left"/>
        <w:rPr>
          <w:rFonts w:hint="eastAsia" w:ascii="仿宋" w:hAnsi="仿宋" w:eastAsia="仿宋" w:cs="仿宋"/>
          <w:b/>
          <w:bCs/>
          <w:sz w:val="32"/>
          <w:szCs w:val="32"/>
        </w:rPr>
      </w:pPr>
      <w:r>
        <w:rPr>
          <w:rFonts w:hint="eastAsia" w:ascii="仿宋" w:hAnsi="仿宋" w:eastAsia="仿宋" w:cs="仿宋"/>
          <w:b/>
          <w:bCs/>
          <w:sz w:val="32"/>
          <w:szCs w:val="32"/>
        </w:rPr>
        <w:t>中国·怀化</w:t>
      </w:r>
    </w:p>
    <w:p>
      <w:pPr>
        <w:tabs>
          <w:tab w:val="left" w:pos="4000"/>
        </w:tabs>
        <w:jc w:val="center"/>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中国注册会计师： </w:t>
      </w:r>
    </w:p>
    <w:p>
      <w:pPr>
        <w:tabs>
          <w:tab w:val="left" w:pos="4000"/>
        </w:tabs>
        <w:ind w:firstLine="4979" w:firstLineChars="1550"/>
        <w:jc w:val="left"/>
        <w:rPr>
          <w:rFonts w:hint="eastAsia" w:ascii="仿宋" w:hAnsi="仿宋" w:eastAsia="仿宋" w:cs="仿宋"/>
          <w:b/>
          <w:bCs/>
          <w:sz w:val="32"/>
          <w:szCs w:val="32"/>
        </w:rPr>
      </w:pPr>
    </w:p>
    <w:p>
      <w:pPr>
        <w:tabs>
          <w:tab w:val="left" w:pos="4000"/>
        </w:tabs>
        <w:jc w:val="right"/>
        <w:rPr>
          <w:rFonts w:hint="eastAsia" w:ascii="仿宋" w:hAnsi="仿宋" w:eastAsia="仿宋" w:cs="仿宋"/>
          <w:b/>
          <w:bCs/>
          <w:sz w:val="32"/>
          <w:szCs w:val="32"/>
        </w:rPr>
      </w:pPr>
    </w:p>
    <w:p>
      <w:pPr>
        <w:tabs>
          <w:tab w:val="left" w:pos="4000"/>
        </w:tabs>
        <w:jc w:val="right"/>
        <w:rPr>
          <w:rFonts w:hint="eastAsia" w:ascii="仿宋" w:hAnsi="仿宋" w:eastAsia="仿宋" w:cs="仿宋"/>
          <w:b/>
          <w:bCs/>
          <w:sz w:val="32"/>
          <w:szCs w:val="32"/>
        </w:rPr>
      </w:pPr>
    </w:p>
    <w:p>
      <w:pPr>
        <w:tabs>
          <w:tab w:val="left" w:pos="4000"/>
        </w:tabs>
        <w:jc w:val="right"/>
        <w:rPr>
          <w:rFonts w:hint="eastAsia" w:ascii="仿宋" w:hAnsi="仿宋" w:eastAsia="仿宋" w:cs="仿宋"/>
          <w:b/>
          <w:bCs/>
          <w:sz w:val="32"/>
          <w:szCs w:val="32"/>
        </w:rPr>
      </w:pPr>
      <w:r>
        <w:rPr>
          <w:rFonts w:hint="eastAsia" w:ascii="仿宋" w:hAnsi="仿宋" w:eastAsia="仿宋" w:cs="仿宋"/>
          <w:b/>
          <w:bCs/>
          <w:sz w:val="32"/>
          <w:szCs w:val="32"/>
        </w:rPr>
        <w:t>二0一</w:t>
      </w:r>
      <w:r>
        <w:rPr>
          <w:rFonts w:hint="eastAsia" w:ascii="仿宋" w:hAnsi="仿宋" w:eastAsia="仿宋" w:cs="仿宋"/>
          <w:b/>
          <w:bCs/>
          <w:sz w:val="32"/>
          <w:szCs w:val="32"/>
          <w:lang w:eastAsia="zh-CN"/>
        </w:rPr>
        <w:t>八</w:t>
      </w:r>
      <w:bookmarkStart w:id="0" w:name="_GoBack"/>
      <w:bookmarkEnd w:id="0"/>
      <w:r>
        <w:rPr>
          <w:rFonts w:hint="eastAsia" w:ascii="仿宋" w:hAnsi="仿宋" w:eastAsia="仿宋" w:cs="仿宋"/>
          <w:b/>
          <w:bCs/>
          <w:sz w:val="32"/>
          <w:szCs w:val="32"/>
        </w:rPr>
        <w:t>年</w:t>
      </w:r>
      <w:r>
        <w:rPr>
          <w:rFonts w:hint="eastAsia" w:ascii="仿宋" w:hAnsi="仿宋" w:eastAsia="仿宋" w:cs="仿宋"/>
          <w:b/>
          <w:bCs/>
          <w:sz w:val="32"/>
          <w:szCs w:val="32"/>
          <w:lang w:eastAsia="zh-CN"/>
        </w:rPr>
        <w:t>十</w:t>
      </w:r>
      <w:r>
        <w:rPr>
          <w:rFonts w:hint="eastAsia" w:ascii="仿宋" w:hAnsi="仿宋" w:eastAsia="仿宋" w:cs="仿宋"/>
          <w:b/>
          <w:bCs/>
          <w:sz w:val="32"/>
          <w:szCs w:val="32"/>
        </w:rPr>
        <w:t>月二十九日</w:t>
      </w: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文本框 2" o:spid="_x0000_s4098" o:spt="202" type="#_x0000_t202" style="position:absolute;left:0pt;margin-top:0pt;height:144pt;width:144pt;mso-position-horizontal:righ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5"/>
                  <w:jc w:val="center"/>
                </w:pPr>
                <w:r>
                  <w:fldChar w:fldCharType="begin"/>
                </w:r>
                <w:r>
                  <w:instrText xml:space="preserve">PAGE   \* MERGEFORMAT</w:instrText>
                </w:r>
                <w:r>
                  <w:fldChar w:fldCharType="separate"/>
                </w:r>
                <w:r>
                  <w:rPr>
                    <w:lang w:val="zh-CN"/>
                  </w:rPr>
                  <w:t>17</w:t>
                </w:r>
                <w:r>
                  <w:fldChar w:fldCharType="end"/>
                </w:r>
              </w:p>
            </w:txbxContent>
          </v:textbox>
        </v:shape>
      </w:pict>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FB4B"/>
    <w:multiLevelType w:val="singleLevel"/>
    <w:tmpl w:val="0231FB4B"/>
    <w:lvl w:ilvl="0" w:tentative="0">
      <w:start w:val="1"/>
      <w:numFmt w:val="decimal"/>
      <w:suff w:val="nothing"/>
      <w:lvlText w:val="%1、"/>
      <w:lvlJc w:val="left"/>
    </w:lvl>
  </w:abstractNum>
  <w:abstractNum w:abstractNumId="1">
    <w:nsid w:val="59E9B862"/>
    <w:multiLevelType w:val="singleLevel"/>
    <w:tmpl w:val="59E9B862"/>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E7099"/>
    <w:rsid w:val="000007DA"/>
    <w:rsid w:val="0000616D"/>
    <w:rsid w:val="000300B9"/>
    <w:rsid w:val="0004261A"/>
    <w:rsid w:val="000451B7"/>
    <w:rsid w:val="00050649"/>
    <w:rsid w:val="00052BAA"/>
    <w:rsid w:val="00084B3E"/>
    <w:rsid w:val="000F5F7E"/>
    <w:rsid w:val="00111CB4"/>
    <w:rsid w:val="00131FF6"/>
    <w:rsid w:val="001549DF"/>
    <w:rsid w:val="00160C71"/>
    <w:rsid w:val="001774A7"/>
    <w:rsid w:val="00180601"/>
    <w:rsid w:val="001814A1"/>
    <w:rsid w:val="00196745"/>
    <w:rsid w:val="001A77A4"/>
    <w:rsid w:val="001B5078"/>
    <w:rsid w:val="001C71CF"/>
    <w:rsid w:val="001D3A37"/>
    <w:rsid w:val="001E08C1"/>
    <w:rsid w:val="001F57F6"/>
    <w:rsid w:val="00203DA0"/>
    <w:rsid w:val="00205DD3"/>
    <w:rsid w:val="00212839"/>
    <w:rsid w:val="00215DDE"/>
    <w:rsid w:val="00260FC1"/>
    <w:rsid w:val="0026155A"/>
    <w:rsid w:val="00267661"/>
    <w:rsid w:val="00272BC6"/>
    <w:rsid w:val="002A69C7"/>
    <w:rsid w:val="002B1C9B"/>
    <w:rsid w:val="002E4A2C"/>
    <w:rsid w:val="00321948"/>
    <w:rsid w:val="00355666"/>
    <w:rsid w:val="003743A1"/>
    <w:rsid w:val="0038694A"/>
    <w:rsid w:val="003B44AA"/>
    <w:rsid w:val="003C0241"/>
    <w:rsid w:val="00416C90"/>
    <w:rsid w:val="00417015"/>
    <w:rsid w:val="00417FE5"/>
    <w:rsid w:val="00445D1D"/>
    <w:rsid w:val="004569A2"/>
    <w:rsid w:val="004E4E65"/>
    <w:rsid w:val="004E57F0"/>
    <w:rsid w:val="004E59EE"/>
    <w:rsid w:val="005218CC"/>
    <w:rsid w:val="00576580"/>
    <w:rsid w:val="005C1226"/>
    <w:rsid w:val="005E5460"/>
    <w:rsid w:val="005E559A"/>
    <w:rsid w:val="00610B0F"/>
    <w:rsid w:val="0065048A"/>
    <w:rsid w:val="00651125"/>
    <w:rsid w:val="0067083B"/>
    <w:rsid w:val="00683338"/>
    <w:rsid w:val="006B758E"/>
    <w:rsid w:val="006E68E6"/>
    <w:rsid w:val="00716E1B"/>
    <w:rsid w:val="007D4429"/>
    <w:rsid w:val="007E264D"/>
    <w:rsid w:val="00845EFF"/>
    <w:rsid w:val="00846029"/>
    <w:rsid w:val="008633C5"/>
    <w:rsid w:val="0086402F"/>
    <w:rsid w:val="00881659"/>
    <w:rsid w:val="008B69A4"/>
    <w:rsid w:val="008C1A85"/>
    <w:rsid w:val="008F2665"/>
    <w:rsid w:val="0091590A"/>
    <w:rsid w:val="00931321"/>
    <w:rsid w:val="009314D2"/>
    <w:rsid w:val="00932D35"/>
    <w:rsid w:val="0095178B"/>
    <w:rsid w:val="00970675"/>
    <w:rsid w:val="00975EB0"/>
    <w:rsid w:val="00986C32"/>
    <w:rsid w:val="009875E8"/>
    <w:rsid w:val="00994480"/>
    <w:rsid w:val="009B4B21"/>
    <w:rsid w:val="009D6064"/>
    <w:rsid w:val="009E7D6C"/>
    <w:rsid w:val="00A21063"/>
    <w:rsid w:val="00A2228E"/>
    <w:rsid w:val="00A4230F"/>
    <w:rsid w:val="00A570AF"/>
    <w:rsid w:val="00A62122"/>
    <w:rsid w:val="00A76C31"/>
    <w:rsid w:val="00AA32BD"/>
    <w:rsid w:val="00AC2EB7"/>
    <w:rsid w:val="00AE50B6"/>
    <w:rsid w:val="00B53FA8"/>
    <w:rsid w:val="00B60878"/>
    <w:rsid w:val="00B91A47"/>
    <w:rsid w:val="00B93025"/>
    <w:rsid w:val="00B93CC5"/>
    <w:rsid w:val="00B94C15"/>
    <w:rsid w:val="00BC35C5"/>
    <w:rsid w:val="00C04AEA"/>
    <w:rsid w:val="00C210FB"/>
    <w:rsid w:val="00C2384D"/>
    <w:rsid w:val="00C27018"/>
    <w:rsid w:val="00C30670"/>
    <w:rsid w:val="00C34896"/>
    <w:rsid w:val="00C479A8"/>
    <w:rsid w:val="00C61005"/>
    <w:rsid w:val="00C824E3"/>
    <w:rsid w:val="00C86A40"/>
    <w:rsid w:val="00CB0DAE"/>
    <w:rsid w:val="00CC5319"/>
    <w:rsid w:val="00CC721A"/>
    <w:rsid w:val="00CD1ACD"/>
    <w:rsid w:val="00CD562E"/>
    <w:rsid w:val="00CF0AF3"/>
    <w:rsid w:val="00D05560"/>
    <w:rsid w:val="00D13313"/>
    <w:rsid w:val="00D175E8"/>
    <w:rsid w:val="00D55E5C"/>
    <w:rsid w:val="00D6226A"/>
    <w:rsid w:val="00D630C6"/>
    <w:rsid w:val="00DB3F22"/>
    <w:rsid w:val="00DC1CB6"/>
    <w:rsid w:val="00DE7099"/>
    <w:rsid w:val="00DF5F23"/>
    <w:rsid w:val="00E03A69"/>
    <w:rsid w:val="00E0648E"/>
    <w:rsid w:val="00E33D99"/>
    <w:rsid w:val="00E67DA7"/>
    <w:rsid w:val="00EA7E97"/>
    <w:rsid w:val="00EC2004"/>
    <w:rsid w:val="00EC507D"/>
    <w:rsid w:val="00ED2CC1"/>
    <w:rsid w:val="00EF70CE"/>
    <w:rsid w:val="00F00A49"/>
    <w:rsid w:val="00F274A8"/>
    <w:rsid w:val="00F53E04"/>
    <w:rsid w:val="00F63327"/>
    <w:rsid w:val="00F775A1"/>
    <w:rsid w:val="00F82111"/>
    <w:rsid w:val="00F8280E"/>
    <w:rsid w:val="00FB1CBB"/>
    <w:rsid w:val="00FC0FE1"/>
    <w:rsid w:val="00FC2687"/>
    <w:rsid w:val="00FC3278"/>
    <w:rsid w:val="00FE4C5E"/>
    <w:rsid w:val="027035AE"/>
    <w:rsid w:val="02D208DB"/>
    <w:rsid w:val="034E4419"/>
    <w:rsid w:val="03EE6CD5"/>
    <w:rsid w:val="04871939"/>
    <w:rsid w:val="05EF14EF"/>
    <w:rsid w:val="06132ED1"/>
    <w:rsid w:val="066D30A6"/>
    <w:rsid w:val="0DA92623"/>
    <w:rsid w:val="0F532939"/>
    <w:rsid w:val="103E6BC1"/>
    <w:rsid w:val="11966D99"/>
    <w:rsid w:val="15A2366F"/>
    <w:rsid w:val="16691AFB"/>
    <w:rsid w:val="1AFB184E"/>
    <w:rsid w:val="1E10546B"/>
    <w:rsid w:val="1ECF168A"/>
    <w:rsid w:val="206F69EA"/>
    <w:rsid w:val="21910B42"/>
    <w:rsid w:val="22771708"/>
    <w:rsid w:val="24715DE7"/>
    <w:rsid w:val="24C12EC2"/>
    <w:rsid w:val="25E80CC8"/>
    <w:rsid w:val="27DC09B5"/>
    <w:rsid w:val="29CC1CBD"/>
    <w:rsid w:val="2BC24387"/>
    <w:rsid w:val="2E6D6865"/>
    <w:rsid w:val="2E854970"/>
    <w:rsid w:val="2E884B09"/>
    <w:rsid w:val="2F8B109F"/>
    <w:rsid w:val="304E32FF"/>
    <w:rsid w:val="31834295"/>
    <w:rsid w:val="34303F08"/>
    <w:rsid w:val="354813E8"/>
    <w:rsid w:val="35594D5C"/>
    <w:rsid w:val="360A0C0F"/>
    <w:rsid w:val="38E438B7"/>
    <w:rsid w:val="3A5E1625"/>
    <w:rsid w:val="3A9A61BF"/>
    <w:rsid w:val="3BFD1B59"/>
    <w:rsid w:val="3C6C774E"/>
    <w:rsid w:val="3F2417D5"/>
    <w:rsid w:val="43910471"/>
    <w:rsid w:val="464978B4"/>
    <w:rsid w:val="467A30F2"/>
    <w:rsid w:val="4CD46E6D"/>
    <w:rsid w:val="4E670EAE"/>
    <w:rsid w:val="4EFD5A87"/>
    <w:rsid w:val="4F782DE2"/>
    <w:rsid w:val="55722121"/>
    <w:rsid w:val="57BE3A77"/>
    <w:rsid w:val="57FC2025"/>
    <w:rsid w:val="58987E91"/>
    <w:rsid w:val="594F2869"/>
    <w:rsid w:val="5AFA3306"/>
    <w:rsid w:val="5CD3658C"/>
    <w:rsid w:val="5D0B2217"/>
    <w:rsid w:val="5EDE3779"/>
    <w:rsid w:val="5EF66CC3"/>
    <w:rsid w:val="60267308"/>
    <w:rsid w:val="60C26A99"/>
    <w:rsid w:val="642B0AE5"/>
    <w:rsid w:val="672A3C7A"/>
    <w:rsid w:val="67CE238D"/>
    <w:rsid w:val="683B267C"/>
    <w:rsid w:val="6CD80815"/>
    <w:rsid w:val="6D18652D"/>
    <w:rsid w:val="6EEB6181"/>
    <w:rsid w:val="70BA4CCF"/>
    <w:rsid w:val="72972FDB"/>
    <w:rsid w:val="73385355"/>
    <w:rsid w:val="735D27F4"/>
    <w:rsid w:val="74AE2938"/>
    <w:rsid w:val="75095E2E"/>
    <w:rsid w:val="75745FBC"/>
    <w:rsid w:val="762D23EC"/>
    <w:rsid w:val="785D30B8"/>
    <w:rsid w:val="78D97A07"/>
    <w:rsid w:val="79090BD8"/>
    <w:rsid w:val="7C692D71"/>
    <w:rsid w:val="7D0B413C"/>
    <w:rsid w:val="7EA70B5A"/>
    <w:rsid w:val="7EEF2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Calibri" w:hAnsi="Calibri" w:eastAsia="宋体" w:cs="Times New Roman"/>
      <w:b/>
      <w:bCs/>
      <w:kern w:val="44"/>
      <w:sz w:val="44"/>
      <w:szCs w:val="44"/>
      <w:lang w:val="zh-CN"/>
    </w:rPr>
  </w:style>
  <w:style w:type="paragraph" w:styleId="3">
    <w:name w:val="heading 2"/>
    <w:basedOn w:val="1"/>
    <w:next w:val="1"/>
    <w:link w:val="18"/>
    <w:qFormat/>
    <w:uiPriority w:val="0"/>
    <w:pPr>
      <w:keepNext/>
      <w:keepLines/>
      <w:adjustRightInd w:val="0"/>
      <w:snapToGrid w:val="0"/>
      <w:spacing w:before="240" w:after="120" w:line="500" w:lineRule="exact"/>
      <w:outlineLvl w:val="1"/>
    </w:pPr>
    <w:rPr>
      <w:rFonts w:ascii="Times New Roman" w:hAnsi="Times New Roman" w:eastAsia="黑体" w:cs="Times New Roman"/>
      <w:bCs/>
      <w:sz w:val="28"/>
      <w:szCs w:val="28"/>
      <w:lang w:val="zh-CN"/>
    </w:rPr>
  </w:style>
  <w:style w:type="character" w:default="1" w:styleId="9">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96"/>
    <w:semiHidden/>
    <w:qFormat/>
    <w:uiPriority w:val="99"/>
    <w:rPr>
      <w:rFonts w:ascii="Calibri" w:hAnsi="Calibri" w:eastAsia="宋体" w:cs="Times New Roman"/>
      <w:kern w:val="0"/>
      <w:sz w:val="2"/>
      <w:szCs w:val="20"/>
      <w:lang w:val="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tabs>
        <w:tab w:val="left" w:pos="840"/>
        <w:tab w:val="right" w:leader="dot" w:pos="8296"/>
      </w:tabs>
      <w:spacing w:line="540" w:lineRule="exact"/>
    </w:pPr>
    <w:rPr>
      <w:rFonts w:ascii="Times New Roman" w:hAnsi="Times New Roman" w:eastAsia="黑体" w:cs="Times New Roman"/>
      <w:sz w:val="30"/>
      <w:szCs w:val="30"/>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page number"/>
    <w:basedOn w:val="9"/>
    <w:qFormat/>
    <w:uiPriority w:val="0"/>
  </w:style>
  <w:style w:type="character" w:styleId="11">
    <w:name w:val="FollowedHyperlink"/>
    <w:semiHidden/>
    <w:qFormat/>
    <w:uiPriority w:val="99"/>
    <w:rPr>
      <w:rFonts w:cs="Times New Roman"/>
      <w:color w:val="800080"/>
      <w:u w:val="single"/>
    </w:rPr>
  </w:style>
  <w:style w:type="character" w:styleId="12">
    <w:name w:val="Hyperlink"/>
    <w:qFormat/>
    <w:uiPriority w:val="99"/>
    <w:rPr>
      <w:rFonts w:cs="Times New Roman"/>
      <w:color w:val="0000FF"/>
      <w:u w:val="single"/>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页眉 Char"/>
    <w:basedOn w:val="9"/>
    <w:link w:val="6"/>
    <w:qFormat/>
    <w:uiPriority w:val="99"/>
    <w:rPr>
      <w:sz w:val="18"/>
      <w:szCs w:val="18"/>
    </w:rPr>
  </w:style>
  <w:style w:type="character" w:customStyle="1" w:styleId="16">
    <w:name w:val="页脚 Char"/>
    <w:basedOn w:val="9"/>
    <w:link w:val="5"/>
    <w:qFormat/>
    <w:uiPriority w:val="99"/>
    <w:rPr>
      <w:sz w:val="18"/>
      <w:szCs w:val="18"/>
    </w:rPr>
  </w:style>
  <w:style w:type="character" w:customStyle="1" w:styleId="17">
    <w:name w:val="标题 1 Char"/>
    <w:basedOn w:val="9"/>
    <w:link w:val="2"/>
    <w:qFormat/>
    <w:uiPriority w:val="0"/>
    <w:rPr>
      <w:rFonts w:ascii="Calibri" w:hAnsi="Calibri" w:eastAsia="宋体" w:cs="Times New Roman"/>
      <w:b/>
      <w:bCs/>
      <w:kern w:val="44"/>
      <w:sz w:val="44"/>
      <w:szCs w:val="44"/>
      <w:lang w:val="zh-CN" w:eastAsia="zh-CN"/>
    </w:rPr>
  </w:style>
  <w:style w:type="character" w:customStyle="1" w:styleId="18">
    <w:name w:val="标题 2 Char"/>
    <w:basedOn w:val="9"/>
    <w:link w:val="3"/>
    <w:qFormat/>
    <w:uiPriority w:val="0"/>
    <w:rPr>
      <w:rFonts w:ascii="Times New Roman" w:hAnsi="Times New Roman" w:eastAsia="黑体" w:cs="Times New Roman"/>
      <w:bCs/>
      <w:sz w:val="28"/>
      <w:szCs w:val="28"/>
      <w:lang w:val="zh-CN" w:eastAsia="zh-CN"/>
    </w:rPr>
  </w:style>
  <w:style w:type="paragraph" w:customStyle="1" w:styleId="19">
    <w:name w:val="列出段落1"/>
    <w:basedOn w:val="1"/>
    <w:qFormat/>
    <w:uiPriority w:val="99"/>
    <w:pPr>
      <w:ind w:firstLine="420" w:firstLineChars="200"/>
    </w:pPr>
    <w:rPr>
      <w:rFonts w:ascii="Calibri" w:hAnsi="Calibri" w:eastAsia="宋体" w:cs="Times New Roman"/>
    </w:rPr>
  </w:style>
  <w:style w:type="paragraph" w:customStyle="1" w:styleId="2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1">
    <w:name w:val="font6"/>
    <w:basedOn w:val="1"/>
    <w:qFormat/>
    <w:uiPriority w:val="0"/>
    <w:pPr>
      <w:widowControl/>
      <w:spacing w:before="100" w:beforeAutospacing="1" w:after="100" w:afterAutospacing="1"/>
      <w:jc w:val="left"/>
    </w:pPr>
    <w:rPr>
      <w:rFonts w:ascii="宋体" w:hAnsi="宋体" w:eastAsia="宋体" w:cs="宋体"/>
      <w:b/>
      <w:bCs/>
      <w:color w:val="FF0000"/>
      <w:kern w:val="0"/>
      <w:sz w:val="18"/>
      <w:szCs w:val="18"/>
    </w:rPr>
  </w:style>
  <w:style w:type="paragraph" w:customStyle="1" w:styleId="2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23">
    <w:name w:val="xl66"/>
    <w:basedOn w:val="1"/>
    <w:qFormat/>
    <w:uiPriority w:val="0"/>
    <w:pPr>
      <w:widowControl/>
      <w:spacing w:before="100" w:beforeAutospacing="1" w:after="100" w:afterAutospacing="1"/>
      <w:jc w:val="center"/>
    </w:pPr>
    <w:rPr>
      <w:rFonts w:ascii="宋体" w:hAnsi="宋体" w:eastAsia="宋体" w:cs="宋体"/>
      <w:b/>
      <w:bCs/>
      <w:kern w:val="0"/>
      <w:sz w:val="18"/>
      <w:szCs w:val="18"/>
    </w:rPr>
  </w:style>
  <w:style w:type="paragraph" w:customStyle="1" w:styleId="24">
    <w:name w:val="xl67"/>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2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6">
    <w:name w:val="xl69"/>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7">
    <w:name w:val="xl70"/>
    <w:basedOn w:val="1"/>
    <w:qFormat/>
    <w:uiPriority w:val="0"/>
    <w:pPr>
      <w:widowControl/>
      <w:spacing w:before="100" w:beforeAutospacing="1" w:after="100" w:afterAutospacing="1"/>
      <w:jc w:val="left"/>
    </w:pPr>
    <w:rPr>
      <w:rFonts w:ascii="宋体" w:hAnsi="宋体" w:eastAsia="宋体" w:cs="宋体"/>
      <w:b/>
      <w:bCs/>
      <w:kern w:val="0"/>
      <w:sz w:val="18"/>
      <w:szCs w:val="18"/>
    </w:rPr>
  </w:style>
  <w:style w:type="paragraph" w:customStyle="1" w:styleId="2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2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3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color w:val="000000"/>
      <w:kern w:val="0"/>
      <w:sz w:val="18"/>
      <w:szCs w:val="18"/>
    </w:rPr>
  </w:style>
  <w:style w:type="paragraph" w:customStyle="1" w:styleId="3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32">
    <w:name w:val="xl75"/>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33">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34">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5">
    <w:name w:val="xl78"/>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36">
    <w:name w:val="xl79"/>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eastAsia="宋体" w:cs="宋体"/>
      <w:color w:val="FF0000"/>
      <w:kern w:val="0"/>
      <w:sz w:val="18"/>
      <w:szCs w:val="18"/>
    </w:rPr>
  </w:style>
  <w:style w:type="paragraph" w:customStyle="1" w:styleId="37">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38">
    <w:name w:val="xl8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39">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color w:val="000000"/>
      <w:kern w:val="0"/>
      <w:sz w:val="18"/>
      <w:szCs w:val="18"/>
    </w:rPr>
  </w:style>
  <w:style w:type="paragraph" w:customStyle="1" w:styleId="40">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41">
    <w:name w:val="xl8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42">
    <w:name w:val="xl85"/>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3">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18"/>
      <w:szCs w:val="18"/>
    </w:rPr>
  </w:style>
  <w:style w:type="paragraph" w:customStyle="1" w:styleId="44">
    <w:name w:val="xl87"/>
    <w:basedOn w:val="1"/>
    <w:qFormat/>
    <w:uiPriority w:val="0"/>
    <w:pPr>
      <w:widowControl/>
      <w:pBdr>
        <w:top w:val="single" w:color="auto" w:sz="4" w:space="0"/>
        <w:left w:val="single" w:color="auto" w:sz="8" w:space="0"/>
        <w:bottom w:val="single" w:color="auto" w:sz="4" w:space="0"/>
      </w:pBdr>
      <w:shd w:val="clear" w:color="000000" w:fill="FFFFFF"/>
      <w:spacing w:before="100" w:beforeAutospacing="1" w:after="100" w:afterAutospacing="1"/>
      <w:jc w:val="center"/>
    </w:pPr>
    <w:rPr>
      <w:rFonts w:ascii="宋体" w:hAnsi="宋体" w:eastAsia="宋体" w:cs="宋体"/>
      <w:color w:val="FF0000"/>
      <w:kern w:val="0"/>
      <w:sz w:val="18"/>
      <w:szCs w:val="18"/>
    </w:rPr>
  </w:style>
  <w:style w:type="paragraph" w:customStyle="1" w:styleId="45">
    <w:name w:val="xl88"/>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46">
    <w:name w:val="xl89"/>
    <w:basedOn w:val="1"/>
    <w:qFormat/>
    <w:uiPriority w:val="0"/>
    <w:pPr>
      <w:widowControl/>
      <w:pBdr>
        <w:top w:val="single" w:color="auto" w:sz="4" w:space="0"/>
        <w:bottom w:val="single" w:color="auto" w:sz="4" w:space="0"/>
        <w:right w:val="single" w:color="auto" w:sz="8" w:space="0"/>
      </w:pBdr>
      <w:shd w:val="clear" w:color="000000" w:fill="FFFFFF"/>
      <w:spacing w:before="100" w:beforeAutospacing="1" w:after="100" w:afterAutospacing="1"/>
      <w:jc w:val="center"/>
    </w:pPr>
    <w:rPr>
      <w:rFonts w:ascii="宋体" w:hAnsi="宋体" w:eastAsia="宋体" w:cs="宋体"/>
      <w:color w:val="000000"/>
      <w:kern w:val="0"/>
      <w:sz w:val="18"/>
      <w:szCs w:val="18"/>
    </w:rPr>
  </w:style>
  <w:style w:type="paragraph" w:customStyle="1" w:styleId="47">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18"/>
      <w:szCs w:val="18"/>
    </w:rPr>
  </w:style>
  <w:style w:type="paragraph" w:customStyle="1" w:styleId="48">
    <w:name w:val="xl91"/>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eastAsia="宋体" w:cs="宋体"/>
      <w:b/>
      <w:bCs/>
      <w:kern w:val="0"/>
      <w:sz w:val="18"/>
      <w:szCs w:val="18"/>
    </w:rPr>
  </w:style>
  <w:style w:type="paragraph" w:customStyle="1" w:styleId="49">
    <w:name w:val="xl92"/>
    <w:basedOn w:val="1"/>
    <w:qFormat/>
    <w:uiPriority w:val="0"/>
    <w:pPr>
      <w:widowControl/>
      <w:pBdr>
        <w:top w:val="single" w:color="auto" w:sz="4" w:space="0"/>
        <w:left w:val="single" w:color="auto" w:sz="8" w:space="0"/>
        <w:bottom w:val="single" w:color="auto" w:sz="4" w:space="0"/>
      </w:pBdr>
      <w:shd w:val="clear" w:color="000000" w:fill="FFFFFF"/>
      <w:spacing w:before="100" w:beforeAutospacing="1" w:after="100" w:afterAutospacing="1"/>
      <w:jc w:val="center"/>
    </w:pPr>
    <w:rPr>
      <w:rFonts w:ascii="宋体" w:hAnsi="宋体" w:eastAsia="宋体" w:cs="宋体"/>
      <w:b/>
      <w:bCs/>
      <w:color w:val="FF0000"/>
      <w:kern w:val="0"/>
      <w:sz w:val="18"/>
      <w:szCs w:val="18"/>
    </w:rPr>
  </w:style>
  <w:style w:type="paragraph" w:customStyle="1" w:styleId="50">
    <w:name w:val="xl93"/>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color w:val="000000"/>
      <w:kern w:val="0"/>
      <w:sz w:val="18"/>
      <w:szCs w:val="18"/>
    </w:rPr>
  </w:style>
  <w:style w:type="paragraph" w:customStyle="1" w:styleId="51">
    <w:name w:val="xl94"/>
    <w:basedOn w:val="1"/>
    <w:qFormat/>
    <w:uiPriority w:val="0"/>
    <w:pPr>
      <w:widowControl/>
      <w:shd w:val="clear" w:color="000000" w:fill="FFFFFF"/>
      <w:spacing w:before="100" w:beforeAutospacing="1" w:after="100" w:afterAutospacing="1"/>
      <w:jc w:val="center"/>
    </w:pPr>
    <w:rPr>
      <w:rFonts w:ascii="宋体" w:hAnsi="宋体" w:eastAsia="宋体" w:cs="宋体"/>
      <w:b/>
      <w:bCs/>
      <w:kern w:val="0"/>
      <w:sz w:val="18"/>
      <w:szCs w:val="18"/>
    </w:rPr>
  </w:style>
  <w:style w:type="paragraph" w:customStyle="1" w:styleId="52">
    <w:name w:val="xl9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53">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5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5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56">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7">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8">
    <w:name w:val="xl10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b/>
      <w:bCs/>
      <w:kern w:val="0"/>
      <w:sz w:val="18"/>
      <w:szCs w:val="18"/>
    </w:rPr>
  </w:style>
  <w:style w:type="paragraph" w:customStyle="1" w:styleId="59">
    <w:name w:val="xl10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60">
    <w:name w:val="xl10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kern w:val="0"/>
      <w:sz w:val="18"/>
      <w:szCs w:val="18"/>
    </w:rPr>
  </w:style>
  <w:style w:type="paragraph" w:customStyle="1" w:styleId="61">
    <w:name w:val="xl10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62">
    <w:name w:val="font7"/>
    <w:basedOn w:val="1"/>
    <w:qFormat/>
    <w:uiPriority w:val="0"/>
    <w:pPr>
      <w:widowControl/>
      <w:spacing w:before="100" w:beforeAutospacing="1" w:after="100" w:afterAutospacing="1"/>
      <w:jc w:val="left"/>
    </w:pPr>
    <w:rPr>
      <w:rFonts w:ascii="宋体" w:hAnsi="宋体" w:eastAsia="宋体" w:cs="宋体"/>
      <w:b/>
      <w:bCs/>
      <w:kern w:val="0"/>
      <w:sz w:val="18"/>
      <w:szCs w:val="18"/>
    </w:rPr>
  </w:style>
  <w:style w:type="paragraph" w:customStyle="1" w:styleId="63">
    <w:name w:val="font8"/>
    <w:basedOn w:val="1"/>
    <w:qFormat/>
    <w:uiPriority w:val="0"/>
    <w:pPr>
      <w:widowControl/>
      <w:spacing w:before="100" w:beforeAutospacing="1" w:after="100" w:afterAutospacing="1"/>
      <w:jc w:val="left"/>
    </w:pPr>
    <w:rPr>
      <w:rFonts w:ascii="宋体" w:hAnsi="宋体" w:eastAsia="宋体" w:cs="宋体"/>
      <w:b/>
      <w:bCs/>
      <w:color w:val="FF0000"/>
      <w:kern w:val="0"/>
      <w:sz w:val="18"/>
      <w:szCs w:val="18"/>
    </w:rPr>
  </w:style>
  <w:style w:type="paragraph" w:customStyle="1" w:styleId="64">
    <w:name w:val="font9"/>
    <w:basedOn w:val="1"/>
    <w:qFormat/>
    <w:uiPriority w:val="99"/>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65">
    <w:name w:val="font10"/>
    <w:basedOn w:val="1"/>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66">
    <w:name w:val="font11"/>
    <w:basedOn w:val="1"/>
    <w:qFormat/>
    <w:uiPriority w:val="99"/>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67">
    <w:name w:val="font12"/>
    <w:basedOn w:val="1"/>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68">
    <w:name w:val="font13"/>
    <w:basedOn w:val="1"/>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69">
    <w:name w:val="xl10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70">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71">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72">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73">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74">
    <w:name w:val="xl11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75">
    <w:name w:val="xl11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b/>
      <w:bCs/>
      <w:kern w:val="0"/>
      <w:sz w:val="18"/>
      <w:szCs w:val="18"/>
    </w:rPr>
  </w:style>
  <w:style w:type="paragraph" w:customStyle="1" w:styleId="76">
    <w:name w:val="xl11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77">
    <w:name w:val="xl11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kern w:val="0"/>
      <w:sz w:val="18"/>
      <w:szCs w:val="18"/>
    </w:rPr>
  </w:style>
  <w:style w:type="paragraph" w:customStyle="1" w:styleId="78">
    <w:name w:val="xl11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79">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80">
    <w:name w:val="xl116"/>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81">
    <w:name w:val="xl117"/>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82">
    <w:name w:val="xl118"/>
    <w:basedOn w:val="1"/>
    <w:qFormat/>
    <w:uiPriority w:val="99"/>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b/>
      <w:bCs/>
      <w:kern w:val="0"/>
      <w:sz w:val="18"/>
      <w:szCs w:val="18"/>
    </w:rPr>
  </w:style>
  <w:style w:type="paragraph" w:customStyle="1" w:styleId="83">
    <w:name w:val="xl11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84">
    <w:name w:val="xl120"/>
    <w:basedOn w:val="1"/>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85">
    <w:name w:val="xl121"/>
    <w:basedOn w:val="1"/>
    <w:qFormat/>
    <w:uiPriority w:val="99"/>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eastAsia="宋体" w:cs="宋体"/>
      <w:b/>
      <w:bCs/>
      <w:kern w:val="0"/>
      <w:sz w:val="18"/>
      <w:szCs w:val="18"/>
    </w:rPr>
  </w:style>
  <w:style w:type="paragraph" w:customStyle="1" w:styleId="86">
    <w:name w:val="xl122"/>
    <w:basedOn w:val="1"/>
    <w:qFormat/>
    <w:uiPriority w:val="99"/>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b/>
      <w:bCs/>
      <w:kern w:val="0"/>
      <w:sz w:val="18"/>
      <w:szCs w:val="18"/>
    </w:rPr>
  </w:style>
  <w:style w:type="paragraph" w:customStyle="1" w:styleId="87">
    <w:name w:val="xl123"/>
    <w:basedOn w:val="1"/>
    <w:qFormat/>
    <w:uiPriority w:val="99"/>
    <w:pPr>
      <w:widowControl/>
      <w:pBdr>
        <w:top w:val="single" w:color="auto" w:sz="4" w:space="0"/>
        <w:left w:val="single" w:color="auto" w:sz="8"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88">
    <w:name w:val="xl124"/>
    <w:basedOn w:val="1"/>
    <w:qFormat/>
    <w:uiPriority w:val="99"/>
    <w:pPr>
      <w:widowControl/>
      <w:pBdr>
        <w:left w:val="single" w:color="auto" w:sz="8" w:space="0"/>
        <w:bottom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89">
    <w:name w:val="xl125"/>
    <w:basedOn w:val="1"/>
    <w:qFormat/>
    <w:uiPriority w:val="99"/>
    <w:pPr>
      <w:widowControl/>
      <w:pBdr>
        <w:top w:val="single" w:color="auto" w:sz="4" w:space="0"/>
        <w:left w:val="single" w:color="auto" w:sz="8" w:space="0"/>
        <w:bottom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90">
    <w:name w:val="xl126"/>
    <w:basedOn w:val="1"/>
    <w:qFormat/>
    <w:uiPriority w:val="99"/>
    <w:pPr>
      <w:widowControl/>
      <w:pBdr>
        <w:top w:val="single" w:color="auto" w:sz="4" w:space="0"/>
        <w:bottom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91">
    <w:name w:val="xl127"/>
    <w:basedOn w:val="1"/>
    <w:qFormat/>
    <w:uiPriority w:val="99"/>
    <w:pPr>
      <w:widowControl/>
      <w:pBdr>
        <w:top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18"/>
      <w:szCs w:val="18"/>
    </w:rPr>
  </w:style>
  <w:style w:type="paragraph" w:customStyle="1" w:styleId="92">
    <w:name w:val="xl128"/>
    <w:basedOn w:val="1"/>
    <w:qFormat/>
    <w:uiPriority w:val="99"/>
    <w:pPr>
      <w:widowControl/>
      <w:pBdr>
        <w:top w:val="single" w:color="auto" w:sz="4" w:space="0"/>
        <w:left w:val="single" w:color="auto" w:sz="8" w:space="0"/>
        <w:right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93">
    <w:name w:val="xl129"/>
    <w:basedOn w:val="1"/>
    <w:qFormat/>
    <w:uiPriority w:val="99"/>
    <w:pPr>
      <w:widowControl/>
      <w:pBdr>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b/>
      <w:bCs/>
      <w:color w:val="FF0000"/>
      <w:kern w:val="0"/>
      <w:sz w:val="18"/>
      <w:szCs w:val="18"/>
    </w:rPr>
  </w:style>
  <w:style w:type="paragraph" w:customStyle="1" w:styleId="94">
    <w:name w:val="xl130"/>
    <w:basedOn w:val="1"/>
    <w:qFormat/>
    <w:uiPriority w:val="99"/>
    <w:pPr>
      <w:widowControl/>
      <w:pBdr>
        <w:top w:val="single" w:color="auto" w:sz="4" w:space="0"/>
        <w:bottom w:val="single" w:color="auto" w:sz="4" w:space="0"/>
      </w:pBdr>
      <w:spacing w:before="100" w:beforeAutospacing="1" w:after="100" w:afterAutospacing="1"/>
      <w:jc w:val="left"/>
    </w:pPr>
    <w:rPr>
      <w:rFonts w:ascii="宋体" w:hAnsi="宋体" w:eastAsia="宋体" w:cs="宋体"/>
      <w:b/>
      <w:bCs/>
      <w:color w:val="FF0000"/>
      <w:kern w:val="0"/>
      <w:sz w:val="18"/>
      <w:szCs w:val="18"/>
    </w:rPr>
  </w:style>
  <w:style w:type="paragraph" w:customStyle="1" w:styleId="95">
    <w:name w:val="xl131"/>
    <w:basedOn w:val="1"/>
    <w:qFormat/>
    <w:uiPriority w:val="99"/>
    <w:pPr>
      <w:widowControl/>
      <w:pBdr>
        <w:top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b/>
      <w:bCs/>
      <w:color w:val="FF0000"/>
      <w:kern w:val="0"/>
      <w:sz w:val="18"/>
      <w:szCs w:val="18"/>
    </w:rPr>
  </w:style>
  <w:style w:type="character" w:customStyle="1" w:styleId="96">
    <w:name w:val="批注框文本 Char"/>
    <w:basedOn w:val="9"/>
    <w:link w:val="4"/>
    <w:semiHidden/>
    <w:qFormat/>
    <w:uiPriority w:val="99"/>
    <w:rPr>
      <w:rFonts w:ascii="Calibri" w:hAnsi="Calibri" w:eastAsia="宋体" w:cs="Times New Roman"/>
      <w:kern w:val="0"/>
      <w:sz w:val="2"/>
      <w:szCs w:val="20"/>
      <w:lang w:val="zh-CN" w:eastAsia="zh-CN"/>
    </w:rPr>
  </w:style>
  <w:style w:type="paragraph" w:customStyle="1" w:styleId="97">
    <w:name w:val="Char"/>
    <w:basedOn w:val="1"/>
    <w:qFormat/>
    <w:uiPriority w:val="0"/>
    <w:rPr>
      <w:rFonts w:ascii="Tahoma" w:hAnsi="Tahoma" w:eastAsia="宋体" w:cs="Times New Roman"/>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17</Pages>
  <Words>1160</Words>
  <Characters>6616</Characters>
  <Lines>55</Lines>
  <Paragraphs>15</Paragraphs>
  <TotalTime>21</TotalTime>
  <ScaleCrop>false</ScaleCrop>
  <LinksUpToDate>false</LinksUpToDate>
  <CharactersWithSpaces>7761</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2018-10-10T16:19:00Z</dcterms:created>
  <dc:creator>Sky123.Org</dc:creator>
  <cp:lastModifiedBy>Administrator</cp:lastModifiedBy>
  <cp:lastPrinted>2018-11-03T02:54:00Z</cp:lastPrinted>
  <dcterms:modified xsi:type="dcterms:W3CDTF">2018-11-26T02:12:20Z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