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44"/>
          <w:szCs w:val="44"/>
          <w14:textFill>
            <w14:solidFill>
              <w14:schemeClr w14:val="tx1"/>
            </w14:solidFill>
          </w14:textFill>
        </w:rPr>
      </w:pPr>
      <w:r>
        <w:rPr>
          <w:rFonts w:hint="eastAsia" w:ascii="黑体" w:hAnsi="黑体" w:eastAsia="黑体"/>
          <w:color w:val="000000" w:themeColor="text1"/>
          <w:sz w:val="44"/>
          <w:szCs w:val="44"/>
          <w14:textFill>
            <w14:solidFill>
              <w14:schemeClr w14:val="tx1"/>
            </w14:solidFill>
          </w14:textFill>
        </w:rPr>
        <w:t>鹤城区</w:t>
      </w:r>
      <w:r>
        <w:rPr>
          <w:rFonts w:hint="eastAsia" w:ascii="黑体" w:hAnsi="黑体" w:eastAsia="黑体"/>
          <w:color w:val="000000" w:themeColor="text1"/>
          <w:sz w:val="44"/>
          <w:szCs w:val="44"/>
          <w:lang w:eastAsia="zh-CN"/>
          <w14:textFill>
            <w14:solidFill>
              <w14:schemeClr w14:val="tx1"/>
            </w14:solidFill>
          </w14:textFill>
        </w:rPr>
        <w:t>农业</w:t>
      </w:r>
      <w:r>
        <w:rPr>
          <w:rFonts w:hint="eastAsia" w:ascii="黑体" w:hAnsi="黑体" w:eastAsia="黑体"/>
          <w:color w:val="000000" w:themeColor="text1"/>
          <w:sz w:val="44"/>
          <w:szCs w:val="44"/>
          <w14:textFill>
            <w14:solidFill>
              <w14:schemeClr w14:val="tx1"/>
            </w14:solidFill>
          </w14:textFill>
        </w:rPr>
        <w:t>局</w:t>
      </w:r>
      <w:r>
        <w:rPr>
          <w:rFonts w:hint="eastAsia" w:ascii="黑体" w:hAnsi="黑体" w:eastAsia="黑体"/>
          <w:color w:val="000000" w:themeColor="text1"/>
          <w:sz w:val="44"/>
          <w:szCs w:val="44"/>
          <w14:textFill>
            <w14:solidFill>
              <w14:schemeClr w14:val="tx1"/>
            </w14:solidFill>
          </w14:textFill>
        </w:rPr>
        <w:t>201</w:t>
      </w:r>
      <w:r>
        <w:rPr>
          <w:rFonts w:hint="eastAsia" w:ascii="黑体" w:hAnsi="黑体" w:eastAsia="黑体"/>
          <w:color w:val="000000" w:themeColor="text1"/>
          <w:sz w:val="44"/>
          <w:szCs w:val="44"/>
          <w:lang w:val="en-US" w:eastAsia="zh-CN"/>
          <w14:textFill>
            <w14:solidFill>
              <w14:schemeClr w14:val="tx1"/>
            </w14:solidFill>
          </w14:textFill>
        </w:rPr>
        <w:t>8</w:t>
      </w:r>
      <w:r>
        <w:rPr>
          <w:rFonts w:hint="eastAsia" w:ascii="黑体" w:hAnsi="黑体" w:eastAsia="黑体"/>
          <w:color w:val="000000" w:themeColor="text1"/>
          <w:sz w:val="44"/>
          <w:szCs w:val="44"/>
          <w14:textFill>
            <w14:solidFill>
              <w14:schemeClr w14:val="tx1"/>
            </w14:solidFill>
          </w14:textFill>
        </w:rPr>
        <w:t>年部门预算</w:t>
      </w:r>
      <w:r>
        <w:rPr>
          <w:rFonts w:hint="eastAsia" w:ascii="黑体" w:hAnsi="黑体" w:eastAsia="黑体"/>
          <w:color w:val="000000" w:themeColor="text1"/>
          <w:sz w:val="44"/>
          <w:szCs w:val="44"/>
          <w:lang w:eastAsia="zh-CN"/>
          <w14:textFill>
            <w14:solidFill>
              <w14:schemeClr w14:val="tx1"/>
            </w14:solidFill>
          </w14:textFill>
        </w:rPr>
        <w:t>公开</w:t>
      </w:r>
      <w:r>
        <w:rPr>
          <w:rFonts w:hint="eastAsia" w:ascii="黑体" w:hAnsi="黑体" w:eastAsia="黑体"/>
          <w:color w:val="000000" w:themeColor="text1"/>
          <w:sz w:val="44"/>
          <w:szCs w:val="44"/>
          <w14:textFill>
            <w14:solidFill>
              <w14:schemeClr w14:val="tx1"/>
            </w14:solidFill>
          </w14:textFill>
        </w:rPr>
        <w:t>说明</w:t>
      </w:r>
    </w:p>
    <w:p>
      <w:pPr>
        <w:jc w:val="center"/>
        <w:rPr>
          <w:rFonts w:hint="eastAsia" w:ascii="仿宋" w:hAnsi="仿宋" w:eastAsia="仿宋"/>
          <w:sz w:val="32"/>
          <w:szCs w:val="32"/>
        </w:rPr>
      </w:pPr>
    </w:p>
    <w:p>
      <w:pPr>
        <w:numPr>
          <w:ilvl w:val="0"/>
          <w:numId w:val="0"/>
        </w:numPr>
        <w:spacing w:line="660" w:lineRule="exact"/>
        <w:ind w:firstLine="643" w:firstLineChars="200"/>
        <w:rPr>
          <w:rFonts w:hint="eastAsia" w:ascii="黑体" w:hAnsi="黑体" w:eastAsia="黑体" w:cs="黑体"/>
          <w:b/>
          <w:sz w:val="32"/>
          <w:szCs w:val="32"/>
        </w:rPr>
      </w:pPr>
      <w:r>
        <w:rPr>
          <w:rFonts w:hint="eastAsia" w:ascii="黑体" w:hAnsi="黑体" w:eastAsia="黑体" w:cs="黑体"/>
          <w:b/>
          <w:sz w:val="32"/>
          <w:szCs w:val="32"/>
          <w:lang w:eastAsia="zh-CN"/>
        </w:rPr>
        <w:t>一、</w:t>
      </w:r>
      <w:r>
        <w:rPr>
          <w:rFonts w:hint="eastAsia" w:ascii="黑体" w:hAnsi="黑体" w:eastAsia="黑体" w:cs="黑体"/>
          <w:b/>
          <w:sz w:val="32"/>
          <w:szCs w:val="32"/>
        </w:rPr>
        <w:t>部门职责</w:t>
      </w:r>
      <w:r>
        <w:rPr>
          <w:rFonts w:hint="eastAsia" w:ascii="黑体" w:hAnsi="黑体" w:eastAsia="黑体" w:cs="黑体"/>
          <w:b/>
          <w:sz w:val="32"/>
          <w:szCs w:val="32"/>
          <w:lang w:eastAsia="zh-CN"/>
        </w:rPr>
        <w:t>及机构设置情况</w:t>
      </w:r>
      <w:bookmarkStart w:id="0" w:name="_GoBack"/>
      <w:bookmarkEnd w:id="0"/>
    </w:p>
    <w:p>
      <w:pPr>
        <w:spacing w:line="660" w:lineRule="exact"/>
        <w:ind w:firstLine="643" w:firstLineChars="200"/>
        <w:rPr>
          <w:rFonts w:hint="eastAsia" w:ascii="仿宋" w:hAnsi="仿宋" w:eastAsia="仿宋"/>
          <w:b/>
          <w:bCs/>
          <w:sz w:val="32"/>
          <w:szCs w:val="32"/>
          <w:lang w:eastAsia="zh-CN"/>
        </w:rPr>
      </w:pPr>
      <w:r>
        <w:rPr>
          <w:rFonts w:hint="eastAsia" w:ascii="仿宋" w:hAnsi="仿宋" w:eastAsia="仿宋"/>
          <w:b/>
          <w:bCs/>
          <w:sz w:val="32"/>
          <w:szCs w:val="32"/>
          <w:lang w:eastAsia="zh-CN"/>
        </w:rPr>
        <w:t>（一）部门职责</w:t>
      </w:r>
    </w:p>
    <w:p>
      <w:pPr>
        <w:spacing w:line="66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负责全区农业、农村工作的协调和综合工作，组织研究全区农业、农村发展和改革中的问题，提出农业、农村发展和改革的政策建议，指导农村发展和改革工作。</w:t>
      </w:r>
    </w:p>
    <w:p>
      <w:pPr>
        <w:spacing w:line="660" w:lineRule="exact"/>
        <w:rPr>
          <w:rFonts w:hint="eastAsia" w:ascii="仿宋" w:hAnsi="仿宋" w:eastAsia="仿宋"/>
          <w:sz w:val="32"/>
          <w:szCs w:val="32"/>
        </w:rPr>
      </w:pPr>
      <w:r>
        <w:rPr>
          <w:rFonts w:hint="eastAsia" w:ascii="仿宋" w:hAnsi="仿宋" w:eastAsia="仿宋"/>
          <w:sz w:val="32"/>
          <w:szCs w:val="32"/>
        </w:rPr>
        <w:t>　　</w:t>
      </w:r>
      <w:r>
        <w:rPr>
          <w:rFonts w:hint="eastAsia" w:ascii="仿宋" w:hAnsi="仿宋" w:eastAsia="仿宋"/>
          <w:sz w:val="32"/>
          <w:szCs w:val="32"/>
          <w:lang w:val="en-US" w:eastAsia="zh-CN"/>
        </w:rPr>
        <w:t>2、</w:t>
      </w:r>
      <w:r>
        <w:rPr>
          <w:rFonts w:hint="eastAsia" w:ascii="仿宋" w:hAnsi="仿宋" w:eastAsia="仿宋"/>
          <w:sz w:val="32"/>
          <w:szCs w:val="32"/>
        </w:rPr>
        <w:t>会同有关部门研究提出城乡经济社会发展一体化体制机制改革的建议，指导协调县域经济发展和新农村建设，研究提出县域经济发展和新农村建设的政策与规划建议，参与农村小城镇规划和建设的有关工作，参与农村社会事业发展工作。</w:t>
      </w:r>
    </w:p>
    <w:p>
      <w:pPr>
        <w:spacing w:line="660" w:lineRule="exact"/>
        <w:rPr>
          <w:rFonts w:hint="eastAsia" w:ascii="仿宋" w:hAnsi="仿宋" w:eastAsia="仿宋"/>
          <w:sz w:val="32"/>
          <w:szCs w:val="32"/>
        </w:rPr>
      </w:pPr>
      <w:r>
        <w:rPr>
          <w:rFonts w:hint="eastAsia" w:ascii="仿宋" w:hAnsi="仿宋" w:eastAsia="仿宋"/>
          <w:sz w:val="32"/>
          <w:szCs w:val="32"/>
        </w:rPr>
        <w:t>　　</w:t>
      </w:r>
      <w:r>
        <w:rPr>
          <w:rFonts w:hint="eastAsia" w:ascii="仿宋" w:hAnsi="仿宋" w:eastAsia="仿宋"/>
          <w:sz w:val="32"/>
          <w:szCs w:val="32"/>
          <w:lang w:val="en-US" w:eastAsia="zh-CN"/>
        </w:rPr>
        <w:t>3、</w:t>
      </w:r>
      <w:r>
        <w:rPr>
          <w:rFonts w:hint="eastAsia" w:ascii="仿宋" w:hAnsi="仿宋" w:eastAsia="仿宋"/>
          <w:sz w:val="32"/>
          <w:szCs w:val="32"/>
        </w:rPr>
        <w:t>贯彻执行国家种植业、畜牧业、渔业、农业机械化、农产品加工业、农垦等农业各产业（以下简称农业）发展的方针政策，</w:t>
      </w:r>
      <w:r>
        <w:rPr>
          <w:rFonts w:hint="eastAsia" w:ascii="仿宋" w:hAnsi="仿宋" w:eastAsia="仿宋"/>
          <w:spacing w:val="-4"/>
          <w:sz w:val="32"/>
          <w:szCs w:val="32"/>
        </w:rPr>
        <w:t>拟订全区农业生产发展战略、中长期发展规划并指导实施，负</w:t>
      </w:r>
      <w:r>
        <w:rPr>
          <w:rFonts w:hint="eastAsia" w:ascii="仿宋" w:hAnsi="仿宋" w:eastAsia="仿宋"/>
          <w:sz w:val="32"/>
          <w:szCs w:val="32"/>
        </w:rPr>
        <w:t>责农业行政执法工作，推进农业依法行政。</w:t>
      </w:r>
    </w:p>
    <w:p>
      <w:pPr>
        <w:spacing w:line="66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4、</w:t>
      </w:r>
      <w:r>
        <w:rPr>
          <w:rFonts w:hint="eastAsia" w:ascii="仿宋" w:hAnsi="仿宋" w:eastAsia="仿宋"/>
          <w:sz w:val="32"/>
          <w:szCs w:val="32"/>
        </w:rPr>
        <w:t>研究提出稳定和完善农村经营管理体制的建议，指导农村土地承包、耕地使用权流转和承包纠纷仲裁管理，指导、监督减轻农民负担和村民筹资筹劳管理工作，检查监督惠农政策的落实，指导村级集体经济发展、农村集体经济组织建设和资产财务管理，拟订全区农业产业化经营的发展规划与政策并组织实施，指导、扶持农业社会化服务体系、农村合作经济组织、农民专业合作社和农产品行业协会的建设与发展。</w:t>
      </w:r>
    </w:p>
    <w:p>
      <w:pPr>
        <w:spacing w:line="66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5、</w:t>
      </w:r>
      <w:r>
        <w:rPr>
          <w:rFonts w:hint="eastAsia" w:ascii="仿宋" w:hAnsi="仿宋" w:eastAsia="仿宋"/>
          <w:sz w:val="32"/>
          <w:szCs w:val="32"/>
        </w:rPr>
        <w:t>指导粮食等主要农产品生产，组织落实促进粮食等主要农产品生产发展的相关政策措施，引导农业产业结构调整和产品品质改善，会同有关部门指导农业标准化、规模化生产；提出农业固定资产投资规模、投资项目和区级财政性资金安排的建议，按权限审批、核准规划和计划内固定资产投资项目；编报部门预算并组织执行，提出扶持农业农村发展的财政政策和项目建议，经批准后与财政部门共同制订实施方案并指导实施；拟订农业开发规划并监督实施；配合财政部门组织实施农业综合开发项目。</w:t>
      </w:r>
    </w:p>
    <w:p>
      <w:pPr>
        <w:spacing w:line="660" w:lineRule="exact"/>
        <w:rPr>
          <w:rFonts w:hint="eastAsia" w:ascii="仿宋" w:hAnsi="仿宋" w:eastAsia="仿宋"/>
          <w:sz w:val="32"/>
          <w:szCs w:val="32"/>
        </w:rPr>
      </w:pPr>
      <w:r>
        <w:rPr>
          <w:rFonts w:hint="eastAsia" w:ascii="仿宋" w:hAnsi="仿宋" w:eastAsia="仿宋"/>
          <w:sz w:val="32"/>
          <w:szCs w:val="32"/>
        </w:rPr>
        <w:t>　　</w:t>
      </w:r>
      <w:r>
        <w:rPr>
          <w:rFonts w:hint="eastAsia" w:ascii="仿宋" w:hAnsi="仿宋" w:eastAsia="仿宋"/>
          <w:sz w:val="32"/>
          <w:szCs w:val="32"/>
          <w:lang w:val="en-US" w:eastAsia="zh-CN"/>
        </w:rPr>
        <w:t>6、</w:t>
      </w:r>
      <w:r>
        <w:rPr>
          <w:rFonts w:hint="eastAsia" w:ascii="仿宋" w:hAnsi="仿宋" w:eastAsia="仿宋"/>
          <w:sz w:val="32"/>
          <w:szCs w:val="32"/>
        </w:rPr>
        <w:t>促进农业产前、产中、产后一体化发展，组织拟订促进农产品加工业发展政策、规划并组织实施，提出农业产业保护政策建议，指导农产品加工业结构调整、技术创新和服务体系建设；提出促进大宗农产品流通的政策建议，研究制定大宗农产品市场体系建设与发展规划；培育、保护和发展农产品品牌。</w:t>
      </w:r>
    </w:p>
    <w:p>
      <w:pPr>
        <w:spacing w:line="660" w:lineRule="exact"/>
        <w:rPr>
          <w:rFonts w:hint="eastAsia" w:ascii="仿宋" w:hAnsi="仿宋" w:eastAsia="仿宋"/>
          <w:sz w:val="32"/>
          <w:szCs w:val="32"/>
        </w:rPr>
      </w:pPr>
      <w:r>
        <w:rPr>
          <w:rFonts w:hint="eastAsia" w:ascii="仿宋" w:hAnsi="仿宋" w:eastAsia="仿宋"/>
          <w:sz w:val="32"/>
          <w:szCs w:val="32"/>
        </w:rPr>
        <w:t>　　</w:t>
      </w:r>
      <w:r>
        <w:rPr>
          <w:rFonts w:hint="eastAsia" w:ascii="仿宋" w:hAnsi="仿宋" w:eastAsia="仿宋"/>
          <w:sz w:val="32"/>
          <w:szCs w:val="32"/>
          <w:lang w:val="en-US" w:eastAsia="zh-CN"/>
        </w:rPr>
        <w:t>7、</w:t>
      </w:r>
      <w:r>
        <w:rPr>
          <w:rFonts w:hint="eastAsia" w:ascii="仿宋" w:hAnsi="仿宋" w:eastAsia="仿宋"/>
          <w:sz w:val="32"/>
          <w:szCs w:val="32"/>
        </w:rPr>
        <w:t>承担提升农产品质量安全水平的责任，依法开展农产品质量安全风险评估，提供相关农产品质量安全状况信息，负责农产品质量安全监测；负责农业转基因生物安全监督管理和农业植物新品种保护；参与制定农产品质量安全地方标准并会同有关部门组织实施；指导农业检验检测体系建设和机构考核；依法实施符合安全标准的农产品认证和监督管理；在环境保护部门的统一监督指导下，对农业环境保护工作实施具体的监督管理；组织农产品质量安全的监督管理；负责畜禽屠宰的监督管理。</w:t>
      </w:r>
    </w:p>
    <w:p>
      <w:pPr>
        <w:spacing w:line="660" w:lineRule="exact"/>
        <w:ind w:firstLine="645"/>
        <w:rPr>
          <w:rFonts w:hint="eastAsia" w:ascii="仿宋" w:hAnsi="仿宋" w:eastAsia="仿宋"/>
          <w:sz w:val="32"/>
          <w:szCs w:val="32"/>
        </w:rPr>
      </w:pPr>
      <w:r>
        <w:rPr>
          <w:rFonts w:hint="eastAsia" w:ascii="仿宋" w:hAnsi="仿宋" w:eastAsia="仿宋"/>
          <w:sz w:val="32"/>
          <w:szCs w:val="32"/>
          <w:lang w:val="en-US" w:eastAsia="zh-CN"/>
        </w:rPr>
        <w:t>8、</w:t>
      </w:r>
      <w:r>
        <w:rPr>
          <w:rFonts w:hint="eastAsia" w:ascii="仿宋" w:hAnsi="仿宋" w:eastAsia="仿宋"/>
          <w:sz w:val="32"/>
          <w:szCs w:val="32"/>
        </w:rPr>
        <w:t>组织、协调农业生产资料市场体系建设，依法开展非主要农作物种子（含食用菌栽培种）、种畜禽、兽药的许可及监督管理；贯彻执行兽药质量、兽药残留限量和残留检测方法国家标准；依法负责饲料、饲料添加剂、渔船、渔港、渔机、网具的监督管理，指导渔业安全生产；会同有关部门贯彻执行农业生产资料标准；开展农药经营单位经营条件审查及监督管理；开展兽医医疗器械和有关肥料的监督管理；指导农业机械化发展和农机安全监理，组织实施农机惠农政策。</w:t>
      </w:r>
    </w:p>
    <w:p>
      <w:pPr>
        <w:spacing w:line="660" w:lineRule="exact"/>
        <w:rPr>
          <w:rFonts w:hint="eastAsia" w:ascii="仿宋" w:hAnsi="仿宋" w:eastAsia="仿宋"/>
          <w:sz w:val="32"/>
          <w:szCs w:val="32"/>
        </w:rPr>
      </w:pPr>
      <w:r>
        <w:rPr>
          <w:rFonts w:hint="eastAsia" w:ascii="仿宋" w:hAnsi="仿宋" w:eastAsia="仿宋"/>
          <w:sz w:val="32"/>
          <w:szCs w:val="32"/>
        </w:rPr>
        <w:t>　　</w:t>
      </w:r>
      <w:r>
        <w:rPr>
          <w:rFonts w:hint="eastAsia" w:ascii="仿宋" w:hAnsi="仿宋" w:eastAsia="仿宋"/>
          <w:sz w:val="32"/>
          <w:szCs w:val="32"/>
          <w:lang w:val="en-US" w:eastAsia="zh-CN"/>
        </w:rPr>
        <w:t>9、</w:t>
      </w:r>
      <w:r>
        <w:rPr>
          <w:rFonts w:hint="eastAsia" w:ascii="仿宋" w:hAnsi="仿宋" w:eastAsia="仿宋"/>
          <w:sz w:val="32"/>
          <w:szCs w:val="32"/>
        </w:rPr>
        <w:t>负责农作物重大病虫害防治，贯彻执行国家动植物防疫检疫法律法规和政策，会同有关部门制定地方性动植物防疫政策建议并指导实施，指导动植物防疫和检疫体系建设；组织、监督对区内动植物的防疫检疫工作，发布疫情并组织扑灭；组织植物检疫性有害生物普查；承担境外引进农作物种子（种苗）检疫审批工作；组织兽医医政、兽药药政药检工作；负责执业兽医的管理。</w:t>
      </w:r>
    </w:p>
    <w:p>
      <w:pPr>
        <w:spacing w:line="660" w:lineRule="exact"/>
        <w:rPr>
          <w:rFonts w:hint="eastAsia" w:ascii="仿宋" w:hAnsi="仿宋" w:eastAsia="仿宋"/>
          <w:sz w:val="32"/>
          <w:szCs w:val="32"/>
        </w:rPr>
      </w:pPr>
      <w:r>
        <w:rPr>
          <w:rFonts w:hint="eastAsia" w:ascii="仿宋" w:hAnsi="仿宋" w:eastAsia="仿宋"/>
          <w:sz w:val="32"/>
          <w:szCs w:val="32"/>
        </w:rPr>
        <w:t>　　</w:t>
      </w:r>
      <w:r>
        <w:rPr>
          <w:rFonts w:hint="eastAsia" w:ascii="仿宋" w:hAnsi="仿宋" w:eastAsia="仿宋"/>
          <w:sz w:val="32"/>
          <w:szCs w:val="32"/>
          <w:lang w:val="en-US" w:eastAsia="zh-CN"/>
        </w:rPr>
        <w:t>10、</w:t>
      </w:r>
      <w:r>
        <w:rPr>
          <w:rFonts w:hint="eastAsia" w:ascii="仿宋" w:hAnsi="仿宋" w:eastAsia="仿宋"/>
          <w:sz w:val="32"/>
          <w:szCs w:val="32"/>
        </w:rPr>
        <w:t>承担农业防灾减灾的责任，监测、发布农业灾情，组织种子、化肥等救灾物资储备和调拨，提出生产救灾资金安排建议，指导紧急救灾和灾后生产恢复。</w:t>
      </w:r>
    </w:p>
    <w:p>
      <w:pPr>
        <w:spacing w:line="660" w:lineRule="exact"/>
        <w:rPr>
          <w:rFonts w:hint="eastAsia" w:ascii="仿宋" w:hAnsi="仿宋" w:eastAsia="仿宋"/>
          <w:sz w:val="32"/>
          <w:szCs w:val="32"/>
        </w:rPr>
      </w:pPr>
      <w:r>
        <w:rPr>
          <w:rFonts w:hint="eastAsia" w:ascii="仿宋" w:hAnsi="仿宋" w:eastAsia="仿宋"/>
          <w:sz w:val="32"/>
          <w:szCs w:val="32"/>
        </w:rPr>
        <w:t>　　</w:t>
      </w:r>
      <w:r>
        <w:rPr>
          <w:rFonts w:hint="eastAsia" w:ascii="仿宋" w:hAnsi="仿宋" w:eastAsia="仿宋"/>
          <w:sz w:val="32"/>
          <w:szCs w:val="32"/>
          <w:lang w:val="en-US" w:eastAsia="zh-CN"/>
        </w:rPr>
        <w:t>11、</w:t>
      </w:r>
      <w:r>
        <w:rPr>
          <w:rFonts w:hint="eastAsia" w:ascii="仿宋" w:hAnsi="仿宋" w:eastAsia="仿宋"/>
          <w:sz w:val="32"/>
          <w:szCs w:val="32"/>
        </w:rPr>
        <w:t>管理农业和农村经济信息，监测分析农业、农村经济运行，开展相关农业统计工作；采集、发布农业和农村经济信息，负责农业信息体系建设，指导农业信息服务。</w:t>
      </w:r>
    </w:p>
    <w:p>
      <w:pPr>
        <w:spacing w:line="660" w:lineRule="exact"/>
        <w:rPr>
          <w:rFonts w:hint="eastAsia" w:ascii="仿宋" w:hAnsi="仿宋" w:eastAsia="仿宋"/>
          <w:sz w:val="32"/>
          <w:szCs w:val="32"/>
        </w:rPr>
      </w:pPr>
      <w:r>
        <w:rPr>
          <w:rFonts w:hint="eastAsia" w:ascii="仿宋" w:hAnsi="仿宋" w:eastAsia="仿宋"/>
          <w:sz w:val="32"/>
          <w:szCs w:val="32"/>
        </w:rPr>
        <w:t>　　</w:t>
      </w:r>
      <w:r>
        <w:rPr>
          <w:rFonts w:hint="eastAsia" w:ascii="仿宋" w:hAnsi="仿宋" w:eastAsia="仿宋"/>
          <w:sz w:val="32"/>
          <w:szCs w:val="32"/>
          <w:lang w:val="en-US" w:eastAsia="zh-CN"/>
        </w:rPr>
        <w:t>12、</w:t>
      </w:r>
      <w:r>
        <w:rPr>
          <w:rFonts w:hint="eastAsia" w:ascii="仿宋" w:hAnsi="仿宋" w:eastAsia="仿宋"/>
          <w:sz w:val="32"/>
          <w:szCs w:val="32"/>
        </w:rPr>
        <w:t>制定农业技术推广规划、计划和有关政策并指导实施；会同有关部门组织农业产业技术体系建设，会同有关部门实施科教兴农战略；组织实施农业领域的农业科技成果转化和技术推广；指导农业技术推广体系改革与建设。</w:t>
      </w:r>
    </w:p>
    <w:p>
      <w:pPr>
        <w:spacing w:line="660" w:lineRule="exact"/>
        <w:rPr>
          <w:rFonts w:hint="eastAsia" w:ascii="仿宋" w:hAnsi="仿宋" w:eastAsia="仿宋"/>
          <w:sz w:val="32"/>
          <w:szCs w:val="32"/>
        </w:rPr>
      </w:pPr>
      <w:r>
        <w:rPr>
          <w:rFonts w:hint="eastAsia" w:ascii="仿宋" w:hAnsi="仿宋" w:eastAsia="仿宋"/>
          <w:sz w:val="32"/>
          <w:szCs w:val="32"/>
        </w:rPr>
        <w:t>　　</w:t>
      </w:r>
      <w:r>
        <w:rPr>
          <w:rFonts w:hint="eastAsia" w:ascii="仿宋" w:hAnsi="仿宋" w:eastAsia="仿宋"/>
          <w:sz w:val="32"/>
          <w:szCs w:val="32"/>
          <w:lang w:val="en-US" w:eastAsia="zh-CN"/>
        </w:rPr>
        <w:t>13、</w:t>
      </w:r>
      <w:r>
        <w:rPr>
          <w:rFonts w:hint="eastAsia" w:ascii="仿宋" w:hAnsi="仿宋" w:eastAsia="仿宋"/>
          <w:sz w:val="32"/>
          <w:szCs w:val="32"/>
        </w:rPr>
        <w:t>会同有关部门拟订农业农村人才队伍建设规划并组织实施，指导协调农民教育培训，指导农业教育和农业职业技能开发工作，参与实施农村实用人才培训工程，承担农村劳动力就地就近就业培训工作，会同有关主管部门依法实施农业农村人才专业技术资格和从业资格管理。</w:t>
      </w:r>
    </w:p>
    <w:p>
      <w:pPr>
        <w:spacing w:line="66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14、</w:t>
      </w:r>
      <w:r>
        <w:rPr>
          <w:rFonts w:hint="eastAsia" w:ascii="仿宋" w:hAnsi="仿宋" w:eastAsia="仿宋"/>
          <w:sz w:val="32"/>
          <w:szCs w:val="32"/>
        </w:rPr>
        <w:t>组织农业资源区划工作，指导农用地、渔业水域、草地、宜农湿地以及农业生物物种资源的保护和管理，负责水生野生动植物保护工作。负责本行政区域内耕地质量监督管理和耕地质量建设工作，并负责对破坏耕地质量的行为及破坏、擅自变动耕地质量监测点基础设施、永久性标志的行为依法进行处罚。负责基本农田补划验收确认工作。负责补充耕地质量验收确认工作。负责贯彻落实耕地占补平衡制度。加强对新开发、复垦和整理耕地后续培肥工作的管理，制定后续培肥方案并组织实施。运用工程设施、农艺、生物等措施发展节水农业。</w:t>
      </w:r>
    </w:p>
    <w:p>
      <w:pPr>
        <w:spacing w:line="660" w:lineRule="exact"/>
        <w:ind w:firstLine="645"/>
        <w:rPr>
          <w:rFonts w:hint="eastAsia" w:ascii="仿宋" w:hAnsi="仿宋" w:eastAsia="仿宋"/>
          <w:sz w:val="32"/>
          <w:szCs w:val="32"/>
        </w:rPr>
      </w:pPr>
      <w:r>
        <w:rPr>
          <w:rFonts w:hint="eastAsia" w:ascii="仿宋" w:hAnsi="仿宋" w:eastAsia="仿宋"/>
          <w:sz w:val="32"/>
          <w:szCs w:val="32"/>
          <w:lang w:val="en-US" w:eastAsia="zh-CN"/>
        </w:rPr>
        <w:t>15、</w:t>
      </w:r>
      <w:r>
        <w:rPr>
          <w:rFonts w:hint="eastAsia" w:ascii="仿宋" w:hAnsi="仿宋" w:eastAsia="仿宋"/>
          <w:sz w:val="32"/>
          <w:szCs w:val="32"/>
        </w:rPr>
        <w:t>制定并实施农业生态建设规划，指导农村可再生能源综合开发与利用，指导农业生物质产业发展和农业农村节能减排，承担指导农业面源污染治理有关工作；划定农产品禁止生产区域，指导生态农业、循环农业等发展；负责保护渔业水域生态环境；牵头管理外来物种。</w:t>
      </w:r>
    </w:p>
    <w:p>
      <w:pPr>
        <w:spacing w:line="66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16、</w:t>
      </w:r>
      <w:r>
        <w:rPr>
          <w:rFonts w:hint="eastAsia" w:ascii="仿宋" w:hAnsi="仿宋" w:eastAsia="仿宋"/>
          <w:sz w:val="32"/>
          <w:szCs w:val="32"/>
        </w:rPr>
        <w:t>制定全区蔬菜产业发展规划；制订蔬菜管理规定、蔬菜产销标准；做好蔬菜生产和新技术、新品种的研究、引进、推广工作；负责规划指导全区蔬菜基地建设、标准化生产、组织实施蔬菜的产地认定、质量认证、市场准入和安全检测工作；组织协调全区蔬菜项目的实施和管理。</w:t>
      </w:r>
    </w:p>
    <w:p>
      <w:pPr>
        <w:spacing w:line="660" w:lineRule="exact"/>
        <w:ind w:firstLine="645"/>
        <w:rPr>
          <w:rFonts w:hint="eastAsia" w:ascii="仿宋" w:hAnsi="仿宋" w:eastAsia="仿宋"/>
          <w:sz w:val="32"/>
          <w:szCs w:val="32"/>
        </w:rPr>
      </w:pPr>
      <w:r>
        <w:rPr>
          <w:rFonts w:hint="eastAsia" w:ascii="仿宋" w:hAnsi="仿宋" w:eastAsia="仿宋"/>
          <w:sz w:val="32"/>
          <w:szCs w:val="32"/>
          <w:lang w:val="en-US" w:eastAsia="zh-CN"/>
        </w:rPr>
        <w:t>17、</w:t>
      </w:r>
      <w:r>
        <w:rPr>
          <w:rFonts w:hint="eastAsia" w:ascii="仿宋" w:hAnsi="仿宋" w:eastAsia="仿宋"/>
          <w:sz w:val="32"/>
          <w:szCs w:val="32"/>
        </w:rPr>
        <w:t>参与组织开展农业贸易促进和有关经济、技术交流与合作，协助有关部门组织实施农业援外项目。</w:t>
      </w:r>
    </w:p>
    <w:p>
      <w:pPr>
        <w:spacing w:line="660" w:lineRule="exact"/>
        <w:ind w:firstLine="645"/>
        <w:rPr>
          <w:rFonts w:hint="eastAsia" w:ascii="仿宋" w:hAnsi="仿宋" w:eastAsia="仿宋"/>
          <w:b/>
          <w:bCs/>
          <w:sz w:val="32"/>
          <w:szCs w:val="32"/>
          <w:lang w:eastAsia="zh-CN"/>
        </w:rPr>
      </w:pPr>
      <w:r>
        <w:rPr>
          <w:rFonts w:hint="eastAsia" w:ascii="仿宋" w:hAnsi="仿宋" w:eastAsia="仿宋"/>
          <w:b/>
          <w:bCs/>
          <w:sz w:val="32"/>
          <w:szCs w:val="32"/>
          <w:lang w:eastAsia="zh-CN"/>
        </w:rPr>
        <w:t>（二）机构设置情况</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lang w:eastAsia="zh-CN"/>
        </w:rPr>
        <w:t>区农业局作为一级部门预算单位，内设二级机构9个，分别为：怀化市鹤城区农业技术推广中心（副科级），怀化市鹤城区农业局种子管理站、怀化市鹤城区农业资源与环境保护管理站、怀化市鹤城区农产品质量安全监督检验检测站、怀化市鹤城区优质农产品开发中心、怀化市鹤城区盈口农业技术中心工作站、怀化市鹤城区黄金坳农业技术中心工作站、怀化市鹤城区农科教中心、怀化市鹤城区乡镇企业技术培训中心。</w:t>
      </w:r>
    </w:p>
    <w:p>
      <w:pPr>
        <w:ind w:firstLine="640" w:firstLineChars="200"/>
        <w:rPr>
          <w:rFonts w:hint="eastAsia" w:ascii="仿宋_GB2312" w:eastAsia="仿宋_GB2312"/>
          <w:sz w:val="32"/>
          <w:szCs w:val="32"/>
          <w:lang w:eastAsia="zh-CN"/>
        </w:rPr>
      </w:pPr>
      <w:r>
        <w:rPr>
          <w:rFonts w:hint="eastAsia" w:ascii="仿宋" w:hAnsi="仿宋" w:eastAsia="仿宋"/>
          <w:sz w:val="32"/>
          <w:szCs w:val="32"/>
          <w:lang w:eastAsia="zh-CN"/>
        </w:rPr>
        <w:t>内设</w:t>
      </w:r>
      <w:r>
        <w:rPr>
          <w:rFonts w:hint="eastAsia" w:ascii="仿宋_GB2312" w:eastAsia="仿宋_GB2312"/>
          <w:sz w:val="32"/>
          <w:szCs w:val="32"/>
          <w:lang w:eastAsia="zh-CN"/>
        </w:rPr>
        <w:t>股室</w:t>
      </w:r>
      <w:r>
        <w:rPr>
          <w:rFonts w:hint="eastAsia" w:ascii="仿宋_GB2312" w:eastAsia="仿宋_GB2312"/>
          <w:sz w:val="32"/>
          <w:szCs w:val="32"/>
        </w:rPr>
        <w:t>10个</w:t>
      </w:r>
      <w:r>
        <w:rPr>
          <w:rFonts w:hint="eastAsia" w:ascii="仿宋_GB2312" w:eastAsia="仿宋_GB2312"/>
          <w:sz w:val="32"/>
          <w:szCs w:val="32"/>
          <w:lang w:eastAsia="zh-CN"/>
        </w:rPr>
        <w:t>，分别为</w:t>
      </w:r>
      <w:r>
        <w:rPr>
          <w:rFonts w:hint="eastAsia" w:ascii="仿宋" w:hAnsi="仿宋" w:eastAsia="仿宋"/>
          <w:sz w:val="32"/>
          <w:szCs w:val="32"/>
          <w:lang w:val="en-US" w:eastAsia="zh-CN"/>
        </w:rPr>
        <w:t>：办公室、政策法规股、新农村建设与县域经济发展股、农村经营理股、农业产化与市场经济信息股、科技教育股、蔬菜生产股、农业执法大队、财务股和人事股</w:t>
      </w:r>
      <w:r>
        <w:rPr>
          <w:rFonts w:hint="eastAsia" w:ascii="仿宋_GB2312" w:eastAsia="仿宋_GB2312"/>
          <w:sz w:val="32"/>
          <w:szCs w:val="32"/>
          <w:lang w:eastAsia="zh-CN"/>
        </w:rPr>
        <w:t>。</w:t>
      </w:r>
    </w:p>
    <w:p>
      <w:pPr>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二、部门预算安排情况说明</w:t>
      </w:r>
    </w:p>
    <w:p>
      <w:pPr>
        <w:numPr>
          <w:ilvl w:val="0"/>
          <w:numId w:val="0"/>
        </w:numPr>
        <w:ind w:firstLine="640"/>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（一）部门预算基本情况</w:t>
      </w:r>
    </w:p>
    <w:p>
      <w:pPr>
        <w:numPr>
          <w:ilvl w:val="0"/>
          <w:numId w:val="0"/>
        </w:numPr>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1、年度收支预算情况。</w:t>
      </w:r>
    </w:p>
    <w:p>
      <w:pPr>
        <w:numPr>
          <w:ilvl w:val="0"/>
          <w:numId w:val="0"/>
        </w:numPr>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2018年部门预算包括局本级和所属二级单位预算在内的汇总情况。</w:t>
      </w:r>
    </w:p>
    <w:p>
      <w:pPr>
        <w:numPr>
          <w:ilvl w:val="0"/>
          <w:numId w:val="1"/>
        </w:numPr>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收入预算。2018年年初预算数1018.64万元，其中，一般公共预算拨款1018.64万元，政府性基金预算拨款0万元，纳入财政专户管理的非税收入拨款1.2万元，国有资本经营预算拨款0万元。收入较去年减少312.32万元，主要原因是人员减少、经费开支减少。</w:t>
      </w:r>
    </w:p>
    <w:p>
      <w:pPr>
        <w:numPr>
          <w:ilvl w:val="0"/>
          <w:numId w:val="1"/>
        </w:numPr>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支出预算。2018年年初预算数1018.64万元，其中，人员支出793.64万元（工资福利支出612.78万元、对个人和家庭的补助92.52万元），公用支出88.33万元，项目支出225万元，支出较去年减少312.32万元，主要原因是人员减少，经费支出减少。</w:t>
      </w:r>
    </w:p>
    <w:p>
      <w:pPr>
        <w:numPr>
          <w:ilvl w:val="0"/>
          <w:numId w:val="0"/>
        </w:numPr>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2、年度一般公共预算财政拨款支出情况。</w:t>
      </w:r>
    </w:p>
    <w:p>
      <w:pPr>
        <w:numPr>
          <w:ilvl w:val="0"/>
          <w:numId w:val="0"/>
        </w:numPr>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1）基本支出：2018年年初预算数为793.64万元，是指为保障单位机构正常运转、完成日常工作任务而发生的各项支出，包括用于基本工资、津贴补贴等人员经费以及办公费、印刷费、水电费、物业管理费等日常公用经费；</w:t>
      </w:r>
    </w:p>
    <w:p>
      <w:pPr>
        <w:rPr>
          <w:rFonts w:hint="eastAsia" w:ascii="仿宋_GB2312" w:eastAsia="仿宋_GB2312"/>
          <w:sz w:val="32"/>
          <w:szCs w:val="32"/>
        </w:rPr>
      </w:pPr>
      <w:r>
        <w:rPr>
          <w:rFonts w:hint="eastAsia" w:ascii="仿宋_GB2312" w:eastAsia="仿宋_GB2312"/>
          <w:sz w:val="32"/>
          <w:szCs w:val="32"/>
          <w:lang w:val="en-US" w:eastAsia="zh-CN"/>
        </w:rPr>
        <w:t xml:space="preserve">  （2）项目支出：2018年年初预算数为225万元，</w:t>
      </w:r>
      <w:r>
        <w:rPr>
          <w:rFonts w:hint="eastAsia" w:ascii="仿宋_GB2312" w:eastAsia="仿宋_GB2312"/>
          <w:sz w:val="32"/>
          <w:szCs w:val="32"/>
        </w:rPr>
        <w:t>是指单位</w:t>
      </w:r>
      <w:r>
        <w:rPr>
          <w:rFonts w:hint="eastAsia" w:ascii="仿宋_GB2312" w:eastAsia="仿宋_GB2312"/>
          <w:sz w:val="32"/>
          <w:szCs w:val="32"/>
          <w:lang w:eastAsia="zh-CN"/>
        </w:rPr>
        <w:t>为</w:t>
      </w:r>
      <w:r>
        <w:rPr>
          <w:rFonts w:hint="eastAsia" w:ascii="仿宋_GB2312" w:eastAsia="仿宋_GB2312"/>
          <w:sz w:val="32"/>
          <w:szCs w:val="32"/>
        </w:rPr>
        <w:t>完成特定行政工作任务或事业发展目标而发生的支出，包括有</w:t>
      </w:r>
      <w:r>
        <w:rPr>
          <w:rFonts w:hint="eastAsia" w:ascii="仿宋_GB2312" w:eastAsia="仿宋_GB2312"/>
          <w:sz w:val="32"/>
          <w:szCs w:val="32"/>
          <w:lang w:eastAsia="zh-CN"/>
        </w:rPr>
        <w:t>产业</w:t>
      </w:r>
      <w:r>
        <w:rPr>
          <w:rFonts w:hint="eastAsia" w:ascii="仿宋_GB2312" w:eastAsia="仿宋_GB2312"/>
          <w:sz w:val="32"/>
          <w:szCs w:val="32"/>
        </w:rPr>
        <w:t>发展</w:t>
      </w:r>
      <w:r>
        <w:rPr>
          <w:rFonts w:hint="eastAsia" w:ascii="仿宋_GB2312" w:eastAsia="仿宋_GB2312"/>
          <w:sz w:val="32"/>
          <w:szCs w:val="32"/>
          <w:lang w:eastAsia="zh-CN"/>
        </w:rPr>
        <w:t>引导类</w:t>
      </w:r>
      <w:r>
        <w:rPr>
          <w:rFonts w:hint="eastAsia" w:ascii="仿宋_GB2312" w:eastAsia="仿宋_GB2312"/>
          <w:sz w:val="32"/>
          <w:szCs w:val="32"/>
        </w:rPr>
        <w:t>、专项业务费</w:t>
      </w:r>
      <w:r>
        <w:rPr>
          <w:rFonts w:hint="eastAsia" w:ascii="仿宋_GB2312" w:eastAsia="仿宋_GB2312"/>
          <w:sz w:val="32"/>
          <w:szCs w:val="32"/>
          <w:lang w:eastAsia="zh-CN"/>
        </w:rPr>
        <w:t>用类</w:t>
      </w:r>
      <w:r>
        <w:rPr>
          <w:rFonts w:hint="eastAsia" w:ascii="仿宋_GB2312" w:eastAsia="仿宋_GB2312"/>
          <w:sz w:val="32"/>
          <w:szCs w:val="32"/>
        </w:rPr>
        <w:t>、基本建设</w:t>
      </w:r>
      <w:r>
        <w:rPr>
          <w:rFonts w:hint="eastAsia" w:ascii="仿宋_GB2312" w:eastAsia="仿宋_GB2312"/>
          <w:sz w:val="32"/>
          <w:szCs w:val="32"/>
          <w:lang w:eastAsia="zh-CN"/>
        </w:rPr>
        <w:t>类、对个人和家庭补助类</w:t>
      </w:r>
      <w:r>
        <w:rPr>
          <w:rFonts w:hint="eastAsia" w:ascii="仿宋_GB2312" w:eastAsia="仿宋_GB2312"/>
          <w:sz w:val="32"/>
          <w:szCs w:val="32"/>
        </w:rPr>
        <w:t>等。其中：</w:t>
      </w:r>
      <w:r>
        <w:rPr>
          <w:rFonts w:hint="eastAsia" w:ascii="仿宋_GB2312" w:eastAsia="仿宋_GB2312"/>
          <w:sz w:val="32"/>
          <w:szCs w:val="32"/>
          <w:lang w:eastAsia="zh-CN"/>
        </w:rPr>
        <w:t>农产品质量安全</w:t>
      </w:r>
      <w:r>
        <w:rPr>
          <w:rFonts w:hint="eastAsia" w:ascii="仿宋_GB2312" w:eastAsia="仿宋_GB2312"/>
          <w:sz w:val="32"/>
          <w:szCs w:val="32"/>
          <w:lang w:val="en-US" w:eastAsia="zh-CN"/>
        </w:rPr>
        <w:t>42.4万元、病虫害控制30万元、科技转化与推广服务91.5万元、省重点民项目建设6万元、执法管理24.1万元、农业组织化与产业化经营9万元、其他农业支出22万元。</w:t>
      </w:r>
    </w:p>
    <w:p>
      <w:pPr>
        <w:rPr>
          <w:rFonts w:hint="eastAsia" w:ascii="仿宋_GB2312" w:eastAsia="仿宋_GB2312"/>
          <w:b/>
          <w:bCs/>
          <w:sz w:val="32"/>
          <w:szCs w:val="32"/>
        </w:rPr>
      </w:pPr>
      <w:r>
        <w:rPr>
          <w:rFonts w:hint="eastAsia" w:ascii="仿宋_GB2312" w:eastAsia="仿宋_GB2312"/>
          <w:sz w:val="32"/>
          <w:szCs w:val="32"/>
        </w:rPr>
        <w:t xml:space="preserve">  </w:t>
      </w:r>
      <w:r>
        <w:rPr>
          <w:rFonts w:hint="eastAsia" w:ascii="仿宋_GB2312" w:eastAsia="仿宋_GB2312"/>
          <w:b/>
          <w:bCs/>
          <w:sz w:val="32"/>
          <w:szCs w:val="32"/>
        </w:rPr>
        <w:t xml:space="preserve">  (二）</w:t>
      </w:r>
      <w:r>
        <w:rPr>
          <w:rFonts w:hint="eastAsia" w:ascii="仿宋_GB2312" w:eastAsia="仿宋_GB2312"/>
          <w:b/>
          <w:bCs/>
          <w:sz w:val="32"/>
          <w:szCs w:val="32"/>
          <w:lang w:val="en-US" w:eastAsia="zh-CN"/>
        </w:rPr>
        <w:t>2018</w:t>
      </w:r>
      <w:r>
        <w:rPr>
          <w:rFonts w:hint="eastAsia" w:ascii="仿宋_GB2312" w:eastAsia="仿宋_GB2312"/>
          <w:b/>
          <w:bCs/>
          <w:sz w:val="32"/>
          <w:szCs w:val="32"/>
        </w:rPr>
        <w:t>年度“三公”经费预算情况。</w:t>
      </w:r>
    </w:p>
    <w:p>
      <w:pPr>
        <w:ind w:firstLine="640" w:firstLineChars="200"/>
        <w:rPr>
          <w:rFonts w:hint="eastAsia" w:ascii="仿宋_GB2312" w:eastAsia="仿宋_GB2312"/>
          <w:sz w:val="32"/>
          <w:szCs w:val="32"/>
          <w:lang w:eastAsia="zh-CN"/>
        </w:rPr>
      </w:pPr>
      <w:r>
        <w:rPr>
          <w:rFonts w:hint="eastAsia" w:ascii="仿宋_GB2312" w:eastAsia="仿宋_GB2312"/>
          <w:sz w:val="32"/>
          <w:szCs w:val="32"/>
        </w:rPr>
        <w:t>201</w:t>
      </w:r>
      <w:r>
        <w:rPr>
          <w:rFonts w:hint="eastAsia" w:ascii="仿宋_GB2312" w:eastAsia="仿宋_GB2312"/>
          <w:sz w:val="32"/>
          <w:szCs w:val="32"/>
          <w:lang w:val="en-US" w:eastAsia="zh-CN"/>
        </w:rPr>
        <w:t>8</w:t>
      </w:r>
      <w:r>
        <w:rPr>
          <w:rFonts w:hint="eastAsia" w:ascii="仿宋_GB2312" w:eastAsia="仿宋_GB2312"/>
          <w:sz w:val="32"/>
          <w:szCs w:val="32"/>
        </w:rPr>
        <w:t>年“三公”经费预算数为</w:t>
      </w:r>
      <w:r>
        <w:rPr>
          <w:rFonts w:hint="eastAsia" w:ascii="仿宋_GB2312" w:eastAsia="仿宋_GB2312"/>
          <w:sz w:val="32"/>
          <w:szCs w:val="32"/>
          <w:lang w:val="en-US" w:eastAsia="zh-CN"/>
        </w:rPr>
        <w:t>62.42</w:t>
      </w:r>
      <w:r>
        <w:rPr>
          <w:rFonts w:hint="eastAsia" w:ascii="仿宋_GB2312" w:eastAsia="仿宋_GB2312"/>
          <w:sz w:val="32"/>
          <w:szCs w:val="32"/>
        </w:rPr>
        <w:t>万元，其中，公务接待费</w:t>
      </w:r>
      <w:r>
        <w:rPr>
          <w:rFonts w:hint="eastAsia" w:ascii="仿宋_GB2312" w:eastAsia="仿宋_GB2312"/>
          <w:sz w:val="32"/>
          <w:szCs w:val="32"/>
          <w:lang w:val="en-US" w:eastAsia="zh-CN"/>
        </w:rPr>
        <w:t>57.42</w:t>
      </w:r>
      <w:r>
        <w:rPr>
          <w:rFonts w:hint="eastAsia" w:ascii="仿宋_GB2312" w:eastAsia="仿宋_GB2312"/>
          <w:sz w:val="32"/>
          <w:szCs w:val="32"/>
        </w:rPr>
        <w:t>万元，公务用车购置及运行费</w:t>
      </w:r>
      <w:r>
        <w:rPr>
          <w:rFonts w:hint="eastAsia" w:ascii="仿宋_GB2312" w:eastAsia="仿宋_GB2312"/>
          <w:sz w:val="32"/>
          <w:szCs w:val="32"/>
          <w:lang w:val="en-US" w:eastAsia="zh-CN"/>
        </w:rPr>
        <w:t>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color w:val="000000" w:themeColor="text1"/>
          <w:sz w:val="32"/>
          <w:szCs w:val="32"/>
          <w14:textFill>
            <w14:solidFill>
              <w14:schemeClr w14:val="tx1"/>
            </w14:solidFill>
          </w14:textFill>
        </w:rPr>
        <w:t>因公出国（境）费</w:t>
      </w:r>
      <w:r>
        <w:rPr>
          <w:rFonts w:hint="eastAsia" w:ascii="仿宋_GB2312" w:eastAsia="仿宋_GB2312"/>
          <w:color w:val="000000" w:themeColor="text1"/>
          <w:sz w:val="32"/>
          <w:szCs w:val="32"/>
          <w:lang w:val="en-US" w:eastAsia="zh-CN"/>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sz w:val="32"/>
          <w:szCs w:val="32"/>
        </w:rPr>
        <w:t>201</w:t>
      </w:r>
      <w:r>
        <w:rPr>
          <w:rFonts w:hint="eastAsia" w:ascii="仿宋_GB2312" w:eastAsia="仿宋_GB2312"/>
          <w:sz w:val="32"/>
          <w:szCs w:val="32"/>
          <w:lang w:val="en-US" w:eastAsia="zh-CN"/>
        </w:rPr>
        <w:t>8</w:t>
      </w:r>
      <w:r>
        <w:rPr>
          <w:rFonts w:hint="eastAsia" w:ascii="仿宋_GB2312" w:eastAsia="仿宋_GB2312"/>
          <w:sz w:val="32"/>
          <w:szCs w:val="32"/>
        </w:rPr>
        <w:t>年“三公”经费预算</w:t>
      </w:r>
      <w:r>
        <w:rPr>
          <w:rFonts w:hint="eastAsia" w:ascii="仿宋_GB2312" w:eastAsia="仿宋_GB2312"/>
          <w:sz w:val="32"/>
          <w:szCs w:val="32"/>
          <w:lang w:eastAsia="zh-CN"/>
        </w:rPr>
        <w:t>与</w:t>
      </w:r>
      <w:r>
        <w:rPr>
          <w:rFonts w:hint="eastAsia" w:ascii="仿宋_GB2312" w:eastAsia="仿宋_GB2312"/>
          <w:sz w:val="32"/>
          <w:szCs w:val="32"/>
        </w:rPr>
        <w:t>201</w:t>
      </w:r>
      <w:r>
        <w:rPr>
          <w:rFonts w:hint="eastAsia" w:ascii="仿宋_GB2312" w:eastAsia="仿宋_GB2312"/>
          <w:sz w:val="32"/>
          <w:szCs w:val="32"/>
          <w:lang w:val="en-US" w:eastAsia="zh-CN"/>
        </w:rPr>
        <w:t>7</w:t>
      </w:r>
      <w:r>
        <w:rPr>
          <w:rFonts w:hint="eastAsia" w:ascii="仿宋_GB2312" w:eastAsia="仿宋_GB2312"/>
          <w:sz w:val="32"/>
          <w:szCs w:val="32"/>
        </w:rPr>
        <w:t>年预算</w:t>
      </w:r>
      <w:r>
        <w:rPr>
          <w:rFonts w:hint="eastAsia" w:ascii="仿宋_GB2312" w:eastAsia="仿宋_GB2312"/>
          <w:sz w:val="32"/>
          <w:szCs w:val="32"/>
          <w:lang w:eastAsia="zh-CN"/>
        </w:rPr>
        <w:t>持平。</w:t>
      </w:r>
    </w:p>
    <w:p>
      <w:pPr>
        <w:ind w:firstLine="643" w:firstLineChars="200"/>
        <w:rPr>
          <w:rFonts w:hint="eastAsia" w:ascii="仿宋_GB2312" w:eastAsia="仿宋_GB2312"/>
          <w:b/>
          <w:bCs/>
          <w:sz w:val="32"/>
          <w:szCs w:val="32"/>
        </w:rPr>
      </w:pPr>
      <w:r>
        <w:rPr>
          <w:rFonts w:hint="eastAsia" w:ascii="仿宋_GB2312" w:eastAsia="仿宋_GB2312"/>
          <w:b/>
          <w:bCs/>
          <w:sz w:val="32"/>
          <w:szCs w:val="32"/>
        </w:rPr>
        <w:t>（三）年度机关运行经费预算情况。</w:t>
      </w:r>
    </w:p>
    <w:p>
      <w:pPr>
        <w:ind w:firstLine="640" w:firstLineChars="200"/>
        <w:rPr>
          <w:rFonts w:hint="eastAsia"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8</w:t>
      </w:r>
      <w:r>
        <w:rPr>
          <w:rFonts w:hint="eastAsia" w:ascii="仿宋_GB2312" w:eastAsia="仿宋_GB2312"/>
          <w:sz w:val="32"/>
          <w:szCs w:val="32"/>
        </w:rPr>
        <w:t>年</w:t>
      </w:r>
      <w:r>
        <w:rPr>
          <w:rFonts w:hint="eastAsia" w:ascii="仿宋_GB2312" w:eastAsia="仿宋_GB2312"/>
          <w:sz w:val="32"/>
          <w:szCs w:val="32"/>
          <w:lang w:eastAsia="zh-CN"/>
        </w:rPr>
        <w:t>区农业局</w:t>
      </w:r>
      <w:r>
        <w:rPr>
          <w:rFonts w:hint="eastAsia" w:ascii="仿宋_GB2312" w:eastAsia="仿宋_GB2312"/>
          <w:sz w:val="32"/>
          <w:szCs w:val="32"/>
        </w:rPr>
        <w:t>机关运行经费一般公共预算拨款</w:t>
      </w:r>
      <w:r>
        <w:rPr>
          <w:rFonts w:hint="eastAsia" w:ascii="仿宋_GB2312" w:eastAsia="仿宋_GB2312"/>
          <w:sz w:val="32"/>
          <w:szCs w:val="32"/>
          <w:lang w:val="en-US" w:eastAsia="zh-CN"/>
        </w:rPr>
        <w:t>313.33</w:t>
      </w:r>
      <w:r>
        <w:rPr>
          <w:rFonts w:hint="eastAsia" w:ascii="仿宋_GB2312" w:eastAsia="仿宋_GB2312"/>
          <w:sz w:val="32"/>
          <w:szCs w:val="32"/>
        </w:rPr>
        <w:t>万元</w:t>
      </w:r>
      <w:r>
        <w:rPr>
          <w:rFonts w:hint="eastAsia" w:ascii="仿宋_GB2312" w:eastAsia="仿宋_GB2312"/>
          <w:color w:val="000000" w:themeColor="text1"/>
          <w:sz w:val="32"/>
          <w:szCs w:val="32"/>
          <w:lang w:eastAsia="zh-CN"/>
          <w14:textFill>
            <w14:solidFill>
              <w14:schemeClr w14:val="tx1"/>
            </w14:solidFill>
          </w14:textFill>
        </w:rPr>
        <w:t>（其中：办公费</w:t>
      </w:r>
      <w:r>
        <w:rPr>
          <w:rFonts w:hint="eastAsia" w:ascii="仿宋_GB2312" w:eastAsia="仿宋_GB2312"/>
          <w:color w:val="000000" w:themeColor="text1"/>
          <w:sz w:val="32"/>
          <w:szCs w:val="32"/>
          <w:lang w:val="en-US" w:eastAsia="zh-CN"/>
          <w14:textFill>
            <w14:solidFill>
              <w14:schemeClr w14:val="tx1"/>
            </w14:solidFill>
          </w14:textFill>
        </w:rPr>
        <w:t>32.8万元、印刷费为19.05万元，咨询费0.17万元、手续费0.16万元、水费0.02万元、电费0.22万元、邮电费1.27万元、交通费0.6万元、差旅费13.52万元、维护费0.52万元、租赁费2.02万元、会议费0.65万元、培训费85.25万元、公务接待费57.42万元、专用材料费38.9万元、劳务费5.67万元、工会经费3.51万元、职工福利费1.06万元、公务用车运行维护费5万元、其他商品和服务支出45.52万元。</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sz w:val="32"/>
          <w:szCs w:val="32"/>
        </w:rPr>
        <w:t>，相比201</w:t>
      </w:r>
      <w:r>
        <w:rPr>
          <w:rFonts w:hint="eastAsia" w:ascii="仿宋_GB2312" w:eastAsia="仿宋_GB2312"/>
          <w:sz w:val="32"/>
          <w:szCs w:val="32"/>
          <w:lang w:val="en-US" w:eastAsia="zh-CN"/>
        </w:rPr>
        <w:t>7</w:t>
      </w:r>
      <w:r>
        <w:rPr>
          <w:rFonts w:hint="eastAsia" w:ascii="仿宋_GB2312" w:eastAsia="仿宋_GB2312"/>
          <w:sz w:val="32"/>
          <w:szCs w:val="32"/>
        </w:rPr>
        <w:t>年预算数</w:t>
      </w:r>
      <w:r>
        <w:rPr>
          <w:rFonts w:hint="eastAsia" w:ascii="仿宋_GB2312" w:eastAsia="仿宋_GB2312"/>
          <w:sz w:val="32"/>
          <w:szCs w:val="32"/>
          <w:lang w:eastAsia="zh-CN"/>
        </w:rPr>
        <w:t>增加</w:t>
      </w:r>
      <w:r>
        <w:rPr>
          <w:rFonts w:hint="eastAsia" w:ascii="仿宋_GB2312" w:eastAsia="仿宋_GB2312"/>
          <w:sz w:val="32"/>
          <w:szCs w:val="32"/>
          <w:lang w:val="en-US" w:eastAsia="zh-CN"/>
        </w:rPr>
        <w:t>232.02</w:t>
      </w:r>
      <w:r>
        <w:rPr>
          <w:rFonts w:hint="eastAsia" w:ascii="仿宋_GB2312" w:eastAsia="仿宋_GB2312"/>
          <w:sz w:val="32"/>
          <w:szCs w:val="32"/>
        </w:rPr>
        <w:t>万元，提高</w:t>
      </w:r>
      <w:r>
        <w:rPr>
          <w:rFonts w:hint="eastAsia" w:ascii="仿宋_GB2312" w:eastAsia="仿宋_GB2312"/>
          <w:sz w:val="32"/>
          <w:szCs w:val="32"/>
          <w:lang w:val="en-US" w:eastAsia="zh-CN"/>
        </w:rPr>
        <w:t>26</w:t>
      </w:r>
      <w:r>
        <w:rPr>
          <w:rFonts w:hint="eastAsia" w:ascii="仿宋_GB2312" w:eastAsia="仿宋_GB2312"/>
          <w:sz w:val="32"/>
          <w:szCs w:val="32"/>
        </w:rPr>
        <w:t>%。</w:t>
      </w:r>
    </w:p>
    <w:p>
      <w:pPr>
        <w:ind w:firstLine="640" w:firstLineChars="200"/>
        <w:rPr>
          <w:rFonts w:hint="eastAsia" w:ascii="仿宋_GB2312" w:eastAsia="仿宋_GB2312"/>
          <w:sz w:val="32"/>
          <w:szCs w:val="32"/>
        </w:rPr>
      </w:pPr>
      <w:r>
        <w:rPr>
          <w:rFonts w:hint="eastAsia" w:ascii="仿宋_GB2312" w:eastAsia="仿宋_GB2312"/>
          <w:sz w:val="32"/>
          <w:szCs w:val="32"/>
        </w:rPr>
        <w:t>备注：机关运行经费指本部门的运行经费，公开口径为一般公共预算基本支出中的商品和服务支出情况。</w:t>
      </w:r>
    </w:p>
    <w:p>
      <w:pPr>
        <w:ind w:firstLine="643" w:firstLineChars="200"/>
        <w:rPr>
          <w:rFonts w:hint="eastAsia" w:ascii="仿宋_GB2312" w:eastAsia="仿宋_GB2312"/>
          <w:b/>
          <w:bCs/>
          <w:sz w:val="32"/>
          <w:szCs w:val="32"/>
        </w:rPr>
      </w:pPr>
      <w:r>
        <w:rPr>
          <w:rFonts w:hint="eastAsia" w:ascii="仿宋_GB2312" w:eastAsia="仿宋_GB2312"/>
          <w:b/>
          <w:bCs/>
          <w:sz w:val="32"/>
          <w:szCs w:val="32"/>
        </w:rPr>
        <w:t>（四）年度政府采购支出预算情况。</w:t>
      </w:r>
    </w:p>
    <w:p>
      <w:pPr>
        <w:ind w:firstLine="640" w:firstLineChars="200"/>
        <w:rPr>
          <w:rFonts w:hint="eastAsia"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8</w:t>
      </w:r>
      <w:r>
        <w:rPr>
          <w:rFonts w:hint="eastAsia" w:ascii="仿宋_GB2312" w:eastAsia="仿宋_GB2312"/>
          <w:sz w:val="32"/>
          <w:szCs w:val="32"/>
        </w:rPr>
        <w:t>年</w:t>
      </w:r>
      <w:r>
        <w:rPr>
          <w:rFonts w:hint="eastAsia" w:ascii="仿宋_GB2312" w:eastAsia="仿宋_GB2312"/>
          <w:sz w:val="32"/>
          <w:szCs w:val="32"/>
          <w:lang w:eastAsia="zh-CN"/>
        </w:rPr>
        <w:t>区农业局单位</w:t>
      </w:r>
      <w:r>
        <w:rPr>
          <w:rFonts w:hint="eastAsia" w:ascii="仿宋_GB2312" w:eastAsia="仿宋_GB2312"/>
          <w:sz w:val="32"/>
          <w:szCs w:val="32"/>
        </w:rPr>
        <w:t>政府采购预算总额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ind w:firstLine="640" w:firstLineChars="200"/>
        <w:rPr>
          <w:rFonts w:hint="eastAsia" w:ascii="黑体" w:eastAsia="黑体"/>
          <w:sz w:val="32"/>
          <w:szCs w:val="32"/>
        </w:rPr>
      </w:pPr>
      <w:r>
        <w:rPr>
          <w:rFonts w:hint="eastAsia" w:ascii="黑体" w:eastAsia="黑体"/>
          <w:sz w:val="32"/>
          <w:szCs w:val="32"/>
          <w:lang w:eastAsia="zh-CN"/>
        </w:rPr>
        <w:t>三</w:t>
      </w:r>
      <w:r>
        <w:rPr>
          <w:rFonts w:hint="eastAsia" w:ascii="黑体" w:eastAsia="黑体"/>
          <w:sz w:val="32"/>
          <w:szCs w:val="32"/>
        </w:rPr>
        <w:t>、专业名词解释</w:t>
      </w:r>
    </w:p>
    <w:p>
      <w:pPr>
        <w:ind w:firstLine="640" w:firstLineChars="200"/>
        <w:rPr>
          <w:rFonts w:hint="eastAsia" w:ascii="仿宋_GB2312" w:eastAsia="仿宋_GB2312"/>
          <w:sz w:val="32"/>
          <w:szCs w:val="32"/>
        </w:rPr>
      </w:pPr>
      <w:r>
        <w:rPr>
          <w:rFonts w:hint="eastAsia" w:ascii="仿宋_GB2312" w:eastAsia="仿宋_GB2312"/>
          <w:sz w:val="32"/>
          <w:szCs w:val="32"/>
        </w:rPr>
        <w:t>1、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w:t>
      </w:r>
    </w:p>
    <w:p>
      <w:pPr>
        <w:adjustRightInd w:val="0"/>
        <w:ind w:firstLine="640" w:firstLineChars="200"/>
        <w:rPr>
          <w:rFonts w:hint="eastAsia" w:ascii="仿宋_GB2312" w:eastAsia="仿宋_GB2312"/>
          <w:sz w:val="32"/>
          <w:szCs w:val="32"/>
        </w:rPr>
      </w:pPr>
      <w:r>
        <w:rPr>
          <w:rFonts w:hint="eastAsia" w:ascii="仿宋_GB2312" w:eastAsia="仿宋_GB2312"/>
          <w:sz w:val="32"/>
          <w:szCs w:val="32"/>
        </w:rPr>
        <w:t>2．“三公”经费：纳入财政预算管理的“三公“经费， 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公务出国(境)的国际旅费、国外城市间交通费、食宿费等支出。</w:t>
      </w:r>
    </w:p>
    <w:p>
      <w:pPr>
        <w:adjustRightInd w:val="0"/>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3.本部门（单位）无相关专业名词解释。</w:t>
      </w:r>
    </w:p>
    <w:p>
      <w:pPr>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、201</w:t>
      </w:r>
      <w:r>
        <w:rPr>
          <w:rFonts w:hint="eastAsia" w:ascii="黑体" w:eastAsia="黑体"/>
          <w:sz w:val="32"/>
          <w:szCs w:val="32"/>
          <w:lang w:val="en-US" w:eastAsia="zh-CN"/>
        </w:rPr>
        <w:t>8</w:t>
      </w:r>
      <w:r>
        <w:rPr>
          <w:rFonts w:hint="eastAsia" w:ascii="黑体" w:eastAsia="黑体"/>
          <w:sz w:val="32"/>
          <w:szCs w:val="32"/>
        </w:rPr>
        <w:t>年度部门预算表</w:t>
      </w:r>
    </w:p>
    <w:p>
      <w:pPr>
        <w:adjustRightInd w:val="0"/>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eastAsia="zh-CN"/>
        </w:rPr>
        <w:t>预算信息公开涉及的表格</w:t>
      </w:r>
      <w:r>
        <w:rPr>
          <w:rFonts w:hint="eastAsia" w:ascii="仿宋_GB2312" w:eastAsia="仿宋_GB2312"/>
          <w:sz w:val="32"/>
          <w:szCs w:val="32"/>
          <w:highlight w:val="none"/>
        </w:rPr>
        <w:t>包括：</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部门收支表3张，即《部门预算收支</w:t>
      </w:r>
      <w:r>
        <w:rPr>
          <w:rFonts w:hint="eastAsia" w:ascii="仿宋_GB2312" w:eastAsia="仿宋_GB2312"/>
          <w:sz w:val="32"/>
          <w:szCs w:val="32"/>
          <w:highlight w:val="none"/>
          <w:lang w:eastAsia="zh-CN"/>
        </w:rPr>
        <w:t>总</w:t>
      </w:r>
      <w:r>
        <w:rPr>
          <w:rFonts w:hint="eastAsia" w:ascii="仿宋_GB2312" w:eastAsia="仿宋_GB2312"/>
          <w:sz w:val="32"/>
          <w:szCs w:val="32"/>
          <w:highlight w:val="none"/>
        </w:rPr>
        <w:t>表》、《部门预算收入总表》、《部门预算支出总表》；</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财政拨款收支表5张，即《部门预算财政拨款收支总表》、</w:t>
      </w:r>
      <w:r>
        <w:rPr>
          <w:rFonts w:hint="eastAsia" w:ascii="仿宋_GB2312" w:eastAsia="仿宋_GB2312"/>
          <w:sz w:val="32"/>
          <w:szCs w:val="32"/>
          <w:highlight w:val="none"/>
          <w:lang w:eastAsia="zh-CN"/>
        </w:rPr>
        <w:t>《</w:t>
      </w:r>
      <w:r>
        <w:rPr>
          <w:rFonts w:hint="eastAsia" w:ascii="仿宋_GB2312" w:eastAsia="仿宋_GB2312"/>
          <w:sz w:val="32"/>
          <w:szCs w:val="32"/>
        </w:rPr>
        <w:t>一般公共预算支出情况表</w:t>
      </w:r>
      <w:r>
        <w:rPr>
          <w:rFonts w:hint="eastAsia" w:ascii="仿宋_GB2312" w:eastAsia="仿宋_GB2312"/>
          <w:sz w:val="32"/>
          <w:szCs w:val="32"/>
          <w:lang w:eastAsia="zh-CN"/>
        </w:rPr>
        <w:t>》、《</w:t>
      </w:r>
      <w:r>
        <w:rPr>
          <w:rFonts w:hint="eastAsia" w:ascii="仿宋_GB2312" w:eastAsia="仿宋_GB2312"/>
          <w:sz w:val="32"/>
          <w:szCs w:val="32"/>
        </w:rPr>
        <w:t>一般公共预算基本支出情况表</w:t>
      </w:r>
      <w:r>
        <w:rPr>
          <w:rFonts w:hint="eastAsia" w:ascii="仿宋_GB2312" w:eastAsia="仿宋_GB2312"/>
          <w:sz w:val="32"/>
          <w:szCs w:val="32"/>
          <w:lang w:eastAsia="zh-CN"/>
        </w:rPr>
        <w:t>》、</w:t>
      </w:r>
      <w:r>
        <w:rPr>
          <w:rFonts w:hint="eastAsia" w:ascii="仿宋_GB2312" w:eastAsia="仿宋_GB2312"/>
          <w:sz w:val="32"/>
          <w:szCs w:val="32"/>
          <w:highlight w:val="none"/>
        </w:rPr>
        <w:t>《“三公”经费支出表》和《政府性基金预算支出表》。</w:t>
      </w:r>
    </w:p>
    <w:p>
      <w:pPr>
        <w:adjustRightInd w:val="0"/>
        <w:ind w:firstLine="640" w:firstLineChars="200"/>
        <w:rPr>
          <w:rFonts w:hint="eastAsia" w:ascii="仿宋_GB2312" w:eastAsia="仿宋_GB2312"/>
          <w:sz w:val="32"/>
          <w:szCs w:val="32"/>
          <w:highlight w:val="none"/>
        </w:rPr>
      </w:pPr>
    </w:p>
    <w:p>
      <w:pPr>
        <w:adjustRightInd w:val="0"/>
        <w:ind w:firstLine="640" w:firstLineChars="200"/>
        <w:rPr>
          <w:rFonts w:hint="eastAsia" w:ascii="仿宋_GB2312" w:eastAsia="仿宋_GB2312"/>
          <w:sz w:val="32"/>
          <w:szCs w:val="32"/>
          <w:highlight w:val="none"/>
        </w:rPr>
      </w:pPr>
    </w:p>
    <w:p>
      <w:pPr>
        <w:adjustRightInd w:val="0"/>
        <w:ind w:firstLine="4160" w:firstLineChars="13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怀化市鹤城区农业局</w:t>
      </w:r>
    </w:p>
    <w:p>
      <w:pPr>
        <w:adjustRightInd w:val="0"/>
        <w:ind w:firstLine="4480" w:firstLineChars="14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2018年3月28日</w:t>
      </w: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hAnsi="宋体" w:eastAsia="仿宋_GB2312"/>
          <w:sz w:val="32"/>
          <w:szCs w:val="32"/>
        </w:rPr>
      </w:pPr>
    </w:p>
    <w:p>
      <w:pPr>
        <w:rPr>
          <w:rFonts w:hint="eastAsia" w:eastAsiaTheme="minorEastAsia"/>
          <w:lang w:eastAsia="zh-CN"/>
        </w:rPr>
      </w:pPr>
    </w:p>
    <w:sectPr>
      <w:footerReference r:id="rId3" w:type="default"/>
      <w:footerReference r:id="rId4" w:type="even"/>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Pr>
    </w:pPr>
    <w:r>
      <w:rPr>
        <w:rStyle w:val="4"/>
      </w:rPr>
      <w:fldChar w:fldCharType="begin"/>
    </w:r>
    <w:r>
      <w:rPr>
        <w:rStyle w:val="4"/>
      </w:rPr>
      <w:instrText xml:space="preserve">PAGE  </w:instrText>
    </w:r>
    <w:r>
      <w:rPr>
        <w:rStyle w:val="4"/>
      </w:rPr>
      <w:fldChar w:fldCharType="separate"/>
    </w:r>
    <w:r>
      <w:rPr>
        <w:rStyle w:val="4"/>
      </w:rPr>
      <w:t>- 6 -</w:t>
    </w:r>
    <w:r>
      <w:rPr>
        <w:rStyle w:val="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Pr>
    </w:pPr>
    <w:r>
      <w:rPr>
        <w:rStyle w:val="4"/>
      </w:rPr>
      <w:fldChar w:fldCharType="begin"/>
    </w:r>
    <w:r>
      <w:rPr>
        <w:rStyle w:val="4"/>
      </w:rPr>
      <w:instrText xml:space="preserve">PAGE  </w:instrText>
    </w:r>
    <w:r>
      <w:rPr>
        <w:rStyle w:val="4"/>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E3387"/>
    <w:multiLevelType w:val="singleLevel"/>
    <w:tmpl w:val="5ABE338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632982"/>
    <w:rsid w:val="028F5FE9"/>
    <w:rsid w:val="0C914ED5"/>
    <w:rsid w:val="118D0392"/>
    <w:rsid w:val="348A4B78"/>
    <w:rsid w:val="38866682"/>
    <w:rsid w:val="4B55586C"/>
    <w:rsid w:val="4C9C2451"/>
    <w:rsid w:val="62C71ADB"/>
    <w:rsid w:val="63A14C93"/>
    <w:rsid w:val="6C857E2A"/>
    <w:rsid w:val="7E632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4">
    <w:name w:val="page number"/>
    <w:basedOn w:val="3"/>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2018-03-30T12:14:00Z</dcterms:created>
  <dc:creator>Administrator</dc:creator>
  <cp:lastModifiedBy>Administrator</cp:lastModifiedBy>
  <dcterms:modified xsi:type="dcterms:W3CDTF">2018-04-02T07:08:53Z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